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EE7" w:rsidRDefault="00EF0EE7" w:rsidP="005C3D64">
      <w:pPr>
        <w:pStyle w:val="Title"/>
        <w:tabs>
          <w:tab w:val="left" w:pos="2552"/>
          <w:tab w:val="left" w:pos="3686"/>
        </w:tabs>
        <w:spacing w:before="40" w:after="40"/>
        <w:rPr>
          <w:rFonts w:ascii="Tahoma" w:hAnsi="Tahoma" w:cs="Tahoma"/>
          <w:b/>
          <w:bCs/>
          <w:spacing w:val="28"/>
          <w:sz w:val="32"/>
          <w:szCs w:val="32"/>
        </w:rPr>
      </w:pPr>
      <w:r>
        <w:rPr>
          <w:rFonts w:ascii="Tahoma" w:hAnsi="Tahoma" w:cs="Tahoma"/>
          <w:b/>
          <w:bCs/>
          <w:spacing w:val="28"/>
          <w:sz w:val="32"/>
          <w:szCs w:val="32"/>
        </w:rPr>
        <w:t>BIZTONSÁGI ADATLAP</w:t>
      </w:r>
    </w:p>
    <w:p w:rsidR="00EF0EE7" w:rsidRDefault="00EF0EE7" w:rsidP="005301DC">
      <w:pPr>
        <w:pStyle w:val="Title"/>
        <w:tabs>
          <w:tab w:val="left" w:pos="4395"/>
        </w:tabs>
        <w:spacing w:before="0" w:after="0"/>
        <w:rPr>
          <w:rFonts w:ascii="Tahoma" w:hAnsi="Tahoma" w:cs="Tahoma"/>
          <w:spacing w:val="28"/>
          <w:sz w:val="18"/>
          <w:szCs w:val="18"/>
        </w:rPr>
      </w:pPr>
      <w:r>
        <w:rPr>
          <w:rFonts w:ascii="Tahoma" w:hAnsi="Tahoma" w:cs="Tahoma"/>
          <w:spacing w:val="28"/>
          <w:sz w:val="18"/>
          <w:szCs w:val="18"/>
        </w:rPr>
        <w:t>Készült az 1907/2006/EK, az 1272/2008/EK és a 2015/830/EU rendelet alapján</w:t>
      </w:r>
    </w:p>
    <w:p w:rsidR="00EF0EE7" w:rsidRDefault="00EF0EE7"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EF0EE7" w:rsidRDefault="00EF0EE7" w:rsidP="00A2200F">
      <w:pPr>
        <w:tabs>
          <w:tab w:val="center" w:pos="4536"/>
        </w:tabs>
        <w:spacing w:before="40"/>
        <w:ind w:right="-2"/>
        <w:rPr>
          <w:rFonts w:ascii="Tahoma" w:hAnsi="Tahoma" w:cs="Tahoma"/>
          <w:b/>
          <w:bCs/>
          <w:snapToGrid w:val="0"/>
          <w:sz w:val="28"/>
          <w:szCs w:val="28"/>
        </w:rPr>
      </w:pPr>
      <w:r>
        <w:rPr>
          <w:rFonts w:ascii="Tahoma" w:hAnsi="Tahoma" w:cs="Tahoma"/>
          <w:b/>
          <w:bCs/>
          <w:snapToGrid w:val="0"/>
        </w:rPr>
        <w:t>1.1. Termékazonosító:</w:t>
      </w:r>
      <w:r>
        <w:rPr>
          <w:rFonts w:ascii="Tahoma" w:hAnsi="Tahoma" w:cs="Tahoma"/>
          <w:snapToGrid w:val="0"/>
          <w:sz w:val="18"/>
          <w:szCs w:val="18"/>
        </w:rPr>
        <w:tab/>
      </w:r>
      <w:r>
        <w:rPr>
          <w:rFonts w:ascii="Tahoma" w:hAnsi="Tahoma" w:cs="Tahoma"/>
          <w:b/>
          <w:bCs/>
          <w:snapToGrid w:val="0"/>
          <w:sz w:val="28"/>
          <w:szCs w:val="28"/>
        </w:rPr>
        <w:t>Just WC tisztító gél – ocean fresh</w:t>
      </w:r>
    </w:p>
    <w:p w:rsidR="00EF0EE7" w:rsidRDefault="00EF0EE7" w:rsidP="009C0503">
      <w:pPr>
        <w:tabs>
          <w:tab w:val="center" w:pos="4536"/>
        </w:tabs>
        <w:spacing w:before="40"/>
        <w:ind w:right="-2"/>
        <w:rPr>
          <w:rFonts w:ascii="Tahoma" w:hAnsi="Tahoma" w:cs="Tahoma"/>
          <w:snapToGrid w:val="0"/>
        </w:rPr>
      </w:pPr>
      <w:r w:rsidRPr="00681260">
        <w:rPr>
          <w:rFonts w:ascii="Tahoma" w:hAnsi="Tahoma" w:cs="Tahoma"/>
          <w:b/>
          <w:bCs/>
          <w:snapToGrid w:val="0"/>
        </w:rPr>
        <w:t>1.2. Azonosított felhasználás:</w:t>
      </w:r>
      <w:r w:rsidRPr="00623045">
        <w:rPr>
          <w:rFonts w:ascii="Tahoma" w:hAnsi="Tahoma" w:cs="Tahoma"/>
          <w:snapToGrid w:val="0"/>
        </w:rPr>
        <w:t xml:space="preserve"> </w:t>
      </w:r>
      <w:r>
        <w:rPr>
          <w:rFonts w:ascii="Tahoma" w:hAnsi="Tahoma" w:cs="Tahoma"/>
          <w:snapToGrid w:val="0"/>
        </w:rPr>
        <w:t>savas tisztítószer</w:t>
      </w:r>
    </w:p>
    <w:p w:rsidR="00EF0EE7" w:rsidRPr="00623045" w:rsidRDefault="00EF0EE7" w:rsidP="00E709EB">
      <w:pPr>
        <w:tabs>
          <w:tab w:val="left" w:pos="426"/>
          <w:tab w:val="center" w:pos="4536"/>
        </w:tabs>
        <w:spacing w:before="40"/>
        <w:ind w:right="204"/>
        <w:rPr>
          <w:rFonts w:ascii="Tahoma" w:hAnsi="Tahoma" w:cs="Tahoma"/>
          <w:b/>
          <w:bCs/>
          <w:snapToGrid w:val="0"/>
        </w:rPr>
      </w:pPr>
      <w:r w:rsidRPr="00623045">
        <w:rPr>
          <w:rFonts w:ascii="Tahoma" w:hAnsi="Tahoma" w:cs="Tahoma"/>
          <w:b/>
          <w:bCs/>
          <w:snapToGrid w:val="0"/>
        </w:rPr>
        <w:tab/>
        <w:t>Ellenjavallt felhasználás:</w:t>
      </w:r>
      <w:r w:rsidRPr="00B71939">
        <w:rPr>
          <w:rFonts w:ascii="Tahoma" w:hAnsi="Tahoma" w:cs="Tahoma"/>
          <w:snapToGrid w:val="0"/>
        </w:rPr>
        <w:t xml:space="preserve"> </w:t>
      </w:r>
      <w:r w:rsidRPr="00623045">
        <w:rPr>
          <w:rFonts w:ascii="Tahoma" w:hAnsi="Tahoma" w:cs="Tahoma"/>
          <w:snapToGrid w:val="0"/>
        </w:rPr>
        <w:t>fentitől eltérő</w:t>
      </w:r>
    </w:p>
    <w:p w:rsidR="00EF0EE7" w:rsidRDefault="00EF0EE7" w:rsidP="005C50EE">
      <w:pPr>
        <w:tabs>
          <w:tab w:val="left" w:pos="284"/>
          <w:tab w:val="left" w:pos="2127"/>
          <w:tab w:val="left" w:pos="2835"/>
          <w:tab w:val="right" w:pos="9214"/>
        </w:tabs>
        <w:spacing w:before="8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EF0EE7" w:rsidRPr="0008511E" w:rsidRDefault="00EF0EE7" w:rsidP="00E709EB">
      <w:pPr>
        <w:spacing w:before="40"/>
        <w:ind w:left="425"/>
        <w:rPr>
          <w:rFonts w:ascii="Tahoma" w:hAnsi="Tahoma" w:cs="Tahoma"/>
          <w:b/>
          <w:bCs/>
        </w:rPr>
      </w:pPr>
      <w:r w:rsidRPr="0008511E">
        <w:rPr>
          <w:rFonts w:ascii="Tahoma" w:hAnsi="Tahoma" w:cs="Tahoma"/>
          <w:b/>
          <w:bCs/>
        </w:rPr>
        <w:t>GIRONDE Kozmetikai és Háztartás-vegyipari Termékeket Gyártó és Forgalmazó Kft.</w:t>
      </w:r>
    </w:p>
    <w:p w:rsidR="00EF0EE7" w:rsidRPr="0008511E" w:rsidRDefault="00EF0EE7" w:rsidP="005C50EE">
      <w:pPr>
        <w:tabs>
          <w:tab w:val="left" w:pos="1985"/>
        </w:tabs>
        <w:ind w:left="426"/>
        <w:rPr>
          <w:rFonts w:ascii="Tahoma" w:hAnsi="Tahoma" w:cs="Tahoma"/>
        </w:rPr>
      </w:pPr>
      <w:r w:rsidRPr="0008511E">
        <w:rPr>
          <w:rFonts w:ascii="Tahoma" w:hAnsi="Tahoma" w:cs="Tahoma"/>
        </w:rPr>
        <w:t>H-3333 Terpes, Petőfi út 2 – 4.</w:t>
      </w:r>
    </w:p>
    <w:p w:rsidR="00EF0EE7" w:rsidRDefault="00EF0EE7"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36 36 561</w:t>
      </w:r>
      <w:r>
        <w:rPr>
          <w:rFonts w:ascii="Tahoma" w:hAnsi="Tahoma" w:cs="Tahoma"/>
        </w:rPr>
        <w:t> </w:t>
      </w:r>
      <w:r w:rsidRPr="0008511E">
        <w:rPr>
          <w:rFonts w:ascii="Tahoma" w:hAnsi="Tahoma" w:cs="Tahoma"/>
        </w:rPr>
        <w:t>310</w:t>
      </w:r>
      <w:r>
        <w:rPr>
          <w:rFonts w:ascii="Tahoma" w:hAnsi="Tahoma" w:cs="Tahoma"/>
        </w:rPr>
        <w:tab/>
      </w:r>
      <w:r w:rsidRPr="0008511E">
        <w:rPr>
          <w:rFonts w:ascii="Tahoma" w:hAnsi="Tahoma" w:cs="Tahoma"/>
        </w:rPr>
        <w:t xml:space="preserve">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EF0EE7" w:rsidRPr="0008511E" w:rsidRDefault="00EF0EE7" w:rsidP="005C50EE">
      <w:pPr>
        <w:tabs>
          <w:tab w:val="left" w:pos="1985"/>
        </w:tabs>
        <w:ind w:left="426"/>
        <w:rPr>
          <w:rFonts w:ascii="Tahoma" w:hAnsi="Tahoma" w:cs="Tahoma"/>
        </w:rPr>
      </w:pPr>
      <w:r>
        <w:rPr>
          <w:rFonts w:ascii="Tahoma" w:hAnsi="Tahoma" w:cs="Tahoma"/>
        </w:rPr>
        <w:t>honlap: www.gironde.hu</w:t>
      </w:r>
    </w:p>
    <w:p w:rsidR="00EF0EE7" w:rsidRDefault="00EF0EE7"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gironde@t-online.hu</w:t>
      </w:r>
    </w:p>
    <w:p w:rsidR="00EF0EE7" w:rsidRPr="004D5835" w:rsidRDefault="00EF0EE7" w:rsidP="005C50EE">
      <w:pPr>
        <w:tabs>
          <w:tab w:val="left" w:pos="2268"/>
          <w:tab w:val="right" w:pos="9214"/>
        </w:tabs>
        <w:spacing w:before="8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EF0EE7" w:rsidRDefault="00EF0EE7" w:rsidP="00D05604">
      <w:pPr>
        <w:tabs>
          <w:tab w:val="right" w:pos="9214"/>
        </w:tabs>
        <w:ind w:left="284" w:right="204"/>
        <w:jc w:val="both"/>
        <w:rPr>
          <w:rFonts w:ascii="Tahoma" w:hAnsi="Tahoma" w:cs="Tahoma"/>
          <w:snapToGrid w:val="0"/>
        </w:rPr>
      </w:pPr>
      <w:r>
        <w:rPr>
          <w:rFonts w:ascii="Tahoma" w:hAnsi="Tahoma" w:cs="Tahoma"/>
          <w:snapToGrid w:val="0"/>
        </w:rPr>
        <w:tab/>
        <w:t>napközben:+36 (1) 476-6464</w:t>
      </w:r>
    </w:p>
    <w:p w:rsidR="00EF0EE7" w:rsidRDefault="00EF0EE7"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+36 (80) 20 11 99</w:t>
      </w:r>
    </w:p>
    <w:p w:rsidR="00EF0EE7" w:rsidRDefault="00EF0EE7"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 azonosítása</w:t>
      </w:r>
    </w:p>
    <w:p w:rsidR="00EF0EE7" w:rsidRPr="00102F47" w:rsidRDefault="00EF0EE7" w:rsidP="00102F47">
      <w:pPr>
        <w:spacing w:after="120"/>
        <w:jc w:val="both"/>
        <w:rPr>
          <w:rFonts w:ascii="Tahoma" w:hAnsi="Tahoma" w:cs="Tahoma"/>
        </w:rPr>
      </w:pPr>
      <w:bookmarkStart w:id="0" w:name="OLE_LINK1"/>
      <w:r w:rsidRPr="008F05F6">
        <w:rPr>
          <w:rFonts w:ascii="Tahoma" w:hAnsi="Tahoma" w:cs="Tahoma"/>
          <w:b/>
          <w:bCs/>
          <w:snapToGrid w:val="0"/>
        </w:rPr>
        <w:t>2.1. A keverék osztályozása:</w:t>
      </w:r>
      <w:r w:rsidRPr="00102F47">
        <w:rPr>
          <w:rFonts w:ascii="Tahoma" w:hAnsi="Tahoma" w:cs="Tahoma"/>
          <w:snapToGrid w:val="0"/>
        </w:rPr>
        <w:t xml:space="preserve"> a</w:t>
      </w:r>
      <w:r w:rsidRPr="00102F47">
        <w:rPr>
          <w:rFonts w:ascii="Tahoma" w:hAnsi="Tahoma" w:cs="Tahoma"/>
        </w:rPr>
        <w:t xml:space="preserve"> termék veszélyes keverék.</w:t>
      </w:r>
    </w:p>
    <w:tbl>
      <w:tblPr>
        <w:tblW w:w="87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1418"/>
        <w:gridCol w:w="3543"/>
        <w:gridCol w:w="1418"/>
      </w:tblGrid>
      <w:tr w:rsidR="00EF0EE7" w:rsidRPr="00102F47">
        <w:tc>
          <w:tcPr>
            <w:tcW w:w="3828" w:type="dxa"/>
            <w:gridSpan w:val="2"/>
            <w:tcBorders>
              <w:top w:val="nil"/>
              <w:left w:val="nil"/>
              <w:bottom w:val="nil"/>
            </w:tcBorders>
            <w:vAlign w:val="center"/>
          </w:tcPr>
          <w:p w:rsidR="00EF0EE7" w:rsidRPr="00102F47" w:rsidRDefault="00EF0EE7" w:rsidP="00102F47">
            <w:pPr>
              <w:tabs>
                <w:tab w:val="left" w:pos="5812"/>
              </w:tabs>
              <w:spacing w:before="40" w:after="40"/>
              <w:ind w:left="532" w:hanging="73"/>
              <w:rPr>
                <w:rFonts w:ascii="Tahoma" w:hAnsi="Tahoma" w:cs="Tahoma"/>
                <w:b/>
                <w:bCs/>
                <w:sz w:val="18"/>
                <w:szCs w:val="18"/>
              </w:rPr>
            </w:pPr>
            <w:r w:rsidRPr="00102F47">
              <w:rPr>
                <w:rFonts w:ascii="Tahoma" w:hAnsi="Tahoma" w:cs="Tahoma"/>
                <w:b/>
                <w:bCs/>
                <w:sz w:val="18"/>
                <w:szCs w:val="18"/>
              </w:rPr>
              <w:t>Osztályozása</w:t>
            </w:r>
          </w:p>
        </w:tc>
        <w:tc>
          <w:tcPr>
            <w:tcW w:w="3543" w:type="dxa"/>
            <w:vAlign w:val="center"/>
          </w:tcPr>
          <w:p w:rsidR="00EF0EE7" w:rsidRPr="00102F47" w:rsidRDefault="00EF0EE7" w:rsidP="00EC3168">
            <w:pPr>
              <w:tabs>
                <w:tab w:val="left" w:pos="5812"/>
              </w:tabs>
              <w:spacing w:before="40" w:after="40"/>
              <w:ind w:hanging="106"/>
              <w:jc w:val="center"/>
              <w:rPr>
                <w:rFonts w:ascii="Tahoma" w:hAnsi="Tahoma" w:cs="Tahoma"/>
                <w:b/>
                <w:bCs/>
                <w:sz w:val="18"/>
                <w:szCs w:val="18"/>
              </w:rPr>
            </w:pPr>
            <w:r w:rsidRPr="00102F47">
              <w:rPr>
                <w:rFonts w:ascii="Tahoma" w:hAnsi="Tahoma" w:cs="Tahoma"/>
                <w:b/>
                <w:bCs/>
                <w:sz w:val="18"/>
                <w:szCs w:val="18"/>
              </w:rPr>
              <w:t>Veszélyességi osztály</w:t>
            </w:r>
          </w:p>
        </w:tc>
        <w:tc>
          <w:tcPr>
            <w:tcW w:w="1418" w:type="dxa"/>
            <w:vAlign w:val="center"/>
          </w:tcPr>
          <w:p w:rsidR="00EF0EE7" w:rsidRPr="00102F47" w:rsidRDefault="00EF0EE7" w:rsidP="00102F47">
            <w:pPr>
              <w:tabs>
                <w:tab w:val="left" w:pos="5812"/>
              </w:tabs>
              <w:spacing w:before="40" w:after="40"/>
              <w:ind w:right="-108"/>
              <w:jc w:val="center"/>
              <w:rPr>
                <w:rFonts w:ascii="Tahoma" w:hAnsi="Tahoma" w:cs="Tahoma"/>
                <w:b/>
                <w:bCs/>
                <w:sz w:val="18"/>
                <w:szCs w:val="18"/>
              </w:rPr>
            </w:pPr>
            <w:r w:rsidRPr="00102F47">
              <w:rPr>
                <w:rFonts w:ascii="Tahoma" w:hAnsi="Tahoma" w:cs="Tahoma"/>
                <w:b/>
                <w:bCs/>
                <w:sz w:val="18"/>
                <w:szCs w:val="18"/>
              </w:rPr>
              <w:t>Veszélyességi kategória</w:t>
            </w:r>
            <w:r w:rsidRPr="00102F47">
              <w:rPr>
                <w:rStyle w:val="FootnoteReference"/>
                <w:rFonts w:ascii="Tahoma" w:hAnsi="Tahoma" w:cs="Tahoma"/>
                <w:b/>
                <w:bCs/>
                <w:sz w:val="18"/>
                <w:szCs w:val="18"/>
              </w:rPr>
              <w:footnoteReference w:id="1"/>
            </w:r>
          </w:p>
        </w:tc>
      </w:tr>
      <w:tr w:rsidR="00EF0EE7" w:rsidRPr="00102F47">
        <w:tc>
          <w:tcPr>
            <w:tcW w:w="2410" w:type="dxa"/>
            <w:vMerge w:val="restart"/>
            <w:tcBorders>
              <w:top w:val="nil"/>
              <w:left w:val="nil"/>
            </w:tcBorders>
            <w:vAlign w:val="center"/>
          </w:tcPr>
          <w:p w:rsidR="00EF0EE7" w:rsidRPr="00102F47" w:rsidRDefault="00EF0EE7" w:rsidP="00102F47">
            <w:pPr>
              <w:tabs>
                <w:tab w:val="left" w:pos="5812"/>
              </w:tabs>
              <w:spacing w:before="20" w:after="40"/>
              <w:ind w:firstLine="459"/>
              <w:rPr>
                <w:rFonts w:ascii="Tahoma" w:hAnsi="Tahoma" w:cs="Tahoma"/>
                <w:b/>
                <w:bCs/>
                <w:sz w:val="18"/>
                <w:szCs w:val="18"/>
              </w:rPr>
            </w:pPr>
            <w:r w:rsidRPr="00102F47">
              <w:rPr>
                <w:rFonts w:ascii="Tahoma" w:hAnsi="Tahoma" w:cs="Tahoma"/>
                <w:b/>
                <w:bCs/>
                <w:sz w:val="18"/>
                <w:szCs w:val="18"/>
              </w:rPr>
              <w:t>Egészségi veszély:</w:t>
            </w:r>
          </w:p>
        </w:tc>
        <w:tc>
          <w:tcPr>
            <w:tcW w:w="1418" w:type="dxa"/>
            <w:vAlign w:val="center"/>
          </w:tcPr>
          <w:p w:rsidR="00EF0EE7" w:rsidRPr="00102F47" w:rsidRDefault="00EF0EE7" w:rsidP="00EC3168">
            <w:pPr>
              <w:tabs>
                <w:tab w:val="left" w:pos="5812"/>
              </w:tabs>
              <w:spacing w:before="20" w:after="40"/>
              <w:ind w:hanging="106"/>
              <w:jc w:val="center"/>
              <w:rPr>
                <w:rFonts w:ascii="Tahoma" w:hAnsi="Tahoma" w:cs="Tahoma"/>
                <w:sz w:val="18"/>
                <w:szCs w:val="18"/>
              </w:rPr>
            </w:pPr>
            <w:r w:rsidRPr="00102F47">
              <w:rPr>
                <w:rFonts w:ascii="Tahoma" w:hAnsi="Tahoma" w:cs="Tahoma"/>
                <w:sz w:val="18"/>
                <w:szCs w:val="18"/>
              </w:rPr>
              <w:t>Eye Irrit. 2</w:t>
            </w:r>
          </w:p>
        </w:tc>
        <w:tc>
          <w:tcPr>
            <w:tcW w:w="3543" w:type="dxa"/>
          </w:tcPr>
          <w:p w:rsidR="00EF0EE7" w:rsidRPr="00102F47" w:rsidRDefault="00EF0EE7" w:rsidP="00EC3168">
            <w:pPr>
              <w:tabs>
                <w:tab w:val="left" w:pos="5812"/>
              </w:tabs>
              <w:spacing w:before="20" w:after="40"/>
              <w:ind w:firstLine="33"/>
              <w:rPr>
                <w:rFonts w:ascii="Tahoma" w:hAnsi="Tahoma" w:cs="Tahoma"/>
                <w:sz w:val="18"/>
                <w:szCs w:val="18"/>
              </w:rPr>
            </w:pPr>
            <w:r w:rsidRPr="00102F47">
              <w:rPr>
                <w:rFonts w:ascii="Tahoma" w:hAnsi="Tahoma" w:cs="Tahoma"/>
                <w:sz w:val="18"/>
                <w:szCs w:val="18"/>
              </w:rPr>
              <w:t>Súlyos szemkárosodás/szemirritáció</w:t>
            </w:r>
          </w:p>
        </w:tc>
        <w:tc>
          <w:tcPr>
            <w:tcW w:w="1418" w:type="dxa"/>
            <w:vAlign w:val="center"/>
          </w:tcPr>
          <w:p w:rsidR="00EF0EE7" w:rsidRPr="00102F47" w:rsidRDefault="00EF0EE7" w:rsidP="00EC3168">
            <w:pPr>
              <w:tabs>
                <w:tab w:val="left" w:pos="5812"/>
              </w:tabs>
              <w:spacing w:before="20" w:after="40"/>
              <w:ind w:hanging="106"/>
              <w:jc w:val="center"/>
              <w:rPr>
                <w:rFonts w:ascii="Tahoma" w:hAnsi="Tahoma" w:cs="Tahoma"/>
                <w:sz w:val="18"/>
                <w:szCs w:val="18"/>
              </w:rPr>
            </w:pPr>
            <w:r w:rsidRPr="00102F47">
              <w:rPr>
                <w:rFonts w:ascii="Tahoma" w:hAnsi="Tahoma" w:cs="Tahoma"/>
                <w:sz w:val="18"/>
                <w:szCs w:val="18"/>
              </w:rPr>
              <w:t>2</w:t>
            </w:r>
          </w:p>
        </w:tc>
      </w:tr>
      <w:tr w:rsidR="00EF0EE7" w:rsidRPr="00102F47">
        <w:tc>
          <w:tcPr>
            <w:tcW w:w="2410" w:type="dxa"/>
            <w:vMerge/>
            <w:tcBorders>
              <w:left w:val="nil"/>
              <w:bottom w:val="nil"/>
            </w:tcBorders>
            <w:vAlign w:val="center"/>
          </w:tcPr>
          <w:p w:rsidR="00EF0EE7" w:rsidRPr="00102F47" w:rsidRDefault="00EF0EE7" w:rsidP="00B5250F">
            <w:pPr>
              <w:tabs>
                <w:tab w:val="left" w:pos="5812"/>
              </w:tabs>
              <w:spacing w:before="20" w:after="40"/>
              <w:ind w:hanging="106"/>
              <w:jc w:val="right"/>
              <w:rPr>
                <w:rFonts w:ascii="Tahoma" w:hAnsi="Tahoma" w:cs="Tahoma"/>
                <w:b/>
                <w:bCs/>
                <w:sz w:val="18"/>
                <w:szCs w:val="18"/>
              </w:rPr>
            </w:pPr>
          </w:p>
        </w:tc>
        <w:tc>
          <w:tcPr>
            <w:tcW w:w="1418" w:type="dxa"/>
            <w:vAlign w:val="center"/>
          </w:tcPr>
          <w:p w:rsidR="00EF0EE7" w:rsidRPr="00102F47" w:rsidRDefault="00EF0EE7" w:rsidP="00EC3168">
            <w:pPr>
              <w:tabs>
                <w:tab w:val="left" w:pos="5812"/>
              </w:tabs>
              <w:spacing w:before="20" w:after="40"/>
              <w:ind w:hanging="106"/>
              <w:jc w:val="center"/>
              <w:rPr>
                <w:rFonts w:ascii="Tahoma" w:hAnsi="Tahoma" w:cs="Tahoma"/>
                <w:sz w:val="18"/>
                <w:szCs w:val="18"/>
              </w:rPr>
            </w:pPr>
            <w:r w:rsidRPr="00102F47">
              <w:rPr>
                <w:rFonts w:ascii="Tahoma" w:hAnsi="Tahoma" w:cs="Tahoma"/>
                <w:sz w:val="18"/>
                <w:szCs w:val="18"/>
              </w:rPr>
              <w:t>Skin Irrit. 2</w:t>
            </w:r>
          </w:p>
        </w:tc>
        <w:tc>
          <w:tcPr>
            <w:tcW w:w="3543" w:type="dxa"/>
          </w:tcPr>
          <w:p w:rsidR="00EF0EE7" w:rsidRPr="00102F47" w:rsidRDefault="00EF0EE7" w:rsidP="00EC3168">
            <w:pPr>
              <w:tabs>
                <w:tab w:val="left" w:pos="5812"/>
              </w:tabs>
              <w:spacing w:before="20" w:after="40"/>
              <w:ind w:firstLine="33"/>
              <w:rPr>
                <w:rFonts w:ascii="Tahoma" w:hAnsi="Tahoma" w:cs="Tahoma"/>
                <w:sz w:val="18"/>
                <w:szCs w:val="18"/>
              </w:rPr>
            </w:pPr>
            <w:r w:rsidRPr="00102F47">
              <w:rPr>
                <w:rFonts w:ascii="Tahoma" w:hAnsi="Tahoma" w:cs="Tahoma"/>
                <w:sz w:val="18"/>
                <w:szCs w:val="18"/>
              </w:rPr>
              <w:t>Bőrmarás/bőrirritáció</w:t>
            </w:r>
          </w:p>
        </w:tc>
        <w:tc>
          <w:tcPr>
            <w:tcW w:w="1418" w:type="dxa"/>
            <w:vAlign w:val="center"/>
          </w:tcPr>
          <w:p w:rsidR="00EF0EE7" w:rsidRPr="00102F47" w:rsidRDefault="00EF0EE7" w:rsidP="00EC3168">
            <w:pPr>
              <w:tabs>
                <w:tab w:val="left" w:pos="5812"/>
              </w:tabs>
              <w:spacing w:before="20" w:after="40"/>
              <w:ind w:hanging="106"/>
              <w:jc w:val="center"/>
              <w:rPr>
                <w:rFonts w:ascii="Tahoma" w:hAnsi="Tahoma" w:cs="Tahoma"/>
                <w:sz w:val="18"/>
                <w:szCs w:val="18"/>
              </w:rPr>
            </w:pPr>
            <w:r w:rsidRPr="00102F47">
              <w:rPr>
                <w:rFonts w:ascii="Tahoma" w:hAnsi="Tahoma" w:cs="Tahoma"/>
                <w:sz w:val="18"/>
                <w:szCs w:val="18"/>
              </w:rPr>
              <w:t>2</w:t>
            </w:r>
          </w:p>
        </w:tc>
      </w:tr>
    </w:tbl>
    <w:p w:rsidR="00EF0EE7" w:rsidRDefault="00EF0EE7" w:rsidP="005D6C4F">
      <w:pPr>
        <w:spacing w:before="120" w:after="40"/>
        <w:jc w:val="both"/>
        <w:rPr>
          <w:rFonts w:ascii="Tahoma" w:hAnsi="Tahoma" w:cs="Tahoma"/>
          <w:snapToGrid w:val="0"/>
        </w:rPr>
      </w:pPr>
      <w:r w:rsidRPr="00184F11">
        <w:rPr>
          <w:rFonts w:ascii="Tahoma" w:hAnsi="Tahoma" w:cs="Tahoma"/>
          <w:b/>
          <w:bCs/>
          <w:snapToGrid w:val="0"/>
        </w:rPr>
        <w:t>2.2. Címkézési elemek</w:t>
      </w:r>
    </w:p>
    <w:p w:rsidR="00EF0EE7" w:rsidRDefault="00EF0EE7" w:rsidP="008A684B">
      <w:pPr>
        <w:spacing w:after="60"/>
        <w:ind w:firstLine="425"/>
        <w:jc w:val="both"/>
        <w:rPr>
          <w:rFonts w:ascii="Tahoma" w:hAnsi="Tahoma" w:cs="Tahoma"/>
          <w:snapToGrid w:val="0"/>
        </w:rPr>
      </w:pPr>
      <w:r w:rsidRPr="006A0D13">
        <w:rPr>
          <w:rFonts w:ascii="Tahoma" w:hAnsi="Tahoma" w:cs="Tahoma"/>
          <w:b/>
          <w:bCs/>
          <w:snapToGrid w:val="0"/>
        </w:rPr>
        <w:t>Piktogram:</w:t>
      </w:r>
      <w:r w:rsidRPr="006A0D13">
        <w:rPr>
          <w:rFonts w:ascii="Tahoma" w:hAnsi="Tahoma" w:cs="Tahoma"/>
          <w:snapToGrid w:val="0"/>
        </w:rPr>
        <w:t xml:space="preserve"> </w:t>
      </w:r>
      <w:r>
        <w:rPr>
          <w:rFonts w:ascii="Tahoma" w:hAnsi="Tahoma" w:cs="Tahoma"/>
          <w:snapToGrid w:val="0"/>
        </w:rPr>
        <w:t xml:space="preserve">GHS07 </w:t>
      </w:r>
      <w:r w:rsidRPr="006A0D13">
        <w:rPr>
          <w:rFonts w:ascii="Tahoma" w:hAnsi="Tahoma" w:cs="Tahoma"/>
          <w:b/>
          <w:bCs/>
          <w:snapToGrid w:val="0"/>
        </w:rPr>
        <w:t>Figyelmeztetés</w:t>
      </w:r>
      <w:r>
        <w:rPr>
          <w:rFonts w:ascii="Tahoma" w:hAnsi="Tahoma" w:cs="Tahoma"/>
          <w:snapToGrid w:val="0"/>
        </w:rPr>
        <w:t>: FIGYELEM</w:t>
      </w:r>
    </w:p>
    <w:tbl>
      <w:tblPr>
        <w:tblW w:w="87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6"/>
        <w:gridCol w:w="7123"/>
      </w:tblGrid>
      <w:tr w:rsidR="00EF0EE7" w:rsidRPr="00F35DE9">
        <w:tc>
          <w:tcPr>
            <w:tcW w:w="1666" w:type="dxa"/>
            <w:vAlign w:val="center"/>
          </w:tcPr>
          <w:p w:rsidR="00EF0EE7" w:rsidRPr="00922CBA" w:rsidRDefault="00EF0EE7" w:rsidP="000A218F">
            <w:pPr>
              <w:spacing w:before="120" w:after="60"/>
              <w:jc w:val="center"/>
              <w:rPr>
                <w:rFonts w:ascii="Tahoma" w:hAnsi="Tahoma" w:cs="Tahoma"/>
                <w:b/>
                <w:bCs/>
                <w:snapToGrid w:val="0"/>
                <w:sz w:val="24"/>
                <w:szCs w:val="24"/>
              </w:rPr>
            </w:pPr>
            <w:r w:rsidRPr="00D07244">
              <w:rPr>
                <w:rFonts w:ascii="Tahoma" w:hAnsi="Tahoma" w:cs="Tahoma"/>
                <w:b/>
                <w:bCs/>
                <w:snapToGrid w:val="0"/>
                <w:sz w:val="22"/>
                <w:szCs w:val="22"/>
              </w:rPr>
              <w:t>FIGYELEM</w:t>
            </w:r>
          </w:p>
          <w:p w:rsidR="00EF0EE7" w:rsidRPr="00F35DE9" w:rsidRDefault="00EF0EE7" w:rsidP="000A218F">
            <w:pPr>
              <w:spacing w:before="120" w:after="60"/>
              <w:jc w:val="center"/>
              <w:rPr>
                <w:rFonts w:ascii="Tahoma" w:hAnsi="Tahoma" w:cs="Tahoma"/>
                <w:snapToGrid w:val="0"/>
              </w:rPr>
            </w:pPr>
            <w:r w:rsidRPr="005518AD">
              <w:rPr>
                <w:rFonts w:ascii="Tahoma" w:hAnsi="Tahoma" w:cs="Tahom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i1025" type="#_x0000_t75" alt="exclam" style="width:70.5pt;height:70.5pt;visibility:visible">
                  <v:imagedata r:id="rId7" o:title=""/>
                </v:shape>
              </w:pict>
            </w:r>
          </w:p>
        </w:tc>
        <w:tc>
          <w:tcPr>
            <w:tcW w:w="7123" w:type="dxa"/>
            <w:vAlign w:val="center"/>
          </w:tcPr>
          <w:p w:rsidR="00EF0EE7" w:rsidRDefault="00EF0EE7" w:rsidP="00D07244">
            <w:pPr>
              <w:tabs>
                <w:tab w:val="left" w:pos="1560"/>
              </w:tabs>
              <w:spacing w:before="40"/>
              <w:ind w:firstLine="69"/>
              <w:jc w:val="both"/>
              <w:rPr>
                <w:rFonts w:ascii="Tahoma" w:hAnsi="Tahoma" w:cs="Tahoma"/>
                <w:b/>
                <w:bCs/>
                <w:snapToGrid w:val="0"/>
              </w:rPr>
            </w:pPr>
            <w:r>
              <w:rPr>
                <w:rFonts w:ascii="Tahoma" w:hAnsi="Tahoma" w:cs="Tahoma"/>
                <w:b/>
                <w:bCs/>
                <w:snapToGrid w:val="0"/>
              </w:rPr>
              <w:t>V</w:t>
            </w:r>
            <w:r w:rsidRPr="00BD425C">
              <w:rPr>
                <w:rFonts w:ascii="Tahoma" w:hAnsi="Tahoma" w:cs="Tahoma"/>
                <w:b/>
                <w:bCs/>
                <w:snapToGrid w:val="0"/>
              </w:rPr>
              <w:t>eszélyre/kockázatra figyelmeztető H-mondat</w:t>
            </w:r>
            <w:r>
              <w:rPr>
                <w:rFonts w:ascii="Tahoma" w:hAnsi="Tahoma" w:cs="Tahoma"/>
                <w:b/>
                <w:bCs/>
                <w:snapToGrid w:val="0"/>
              </w:rPr>
              <w:t>ok</w:t>
            </w:r>
            <w:r w:rsidRPr="00BD425C">
              <w:rPr>
                <w:rFonts w:ascii="Tahoma" w:hAnsi="Tahoma" w:cs="Tahoma"/>
                <w:b/>
                <w:bCs/>
                <w:snapToGrid w:val="0"/>
              </w:rPr>
              <w:t>:</w:t>
            </w:r>
          </w:p>
          <w:p w:rsidR="00EF0EE7" w:rsidRPr="00EA67AC" w:rsidRDefault="00EF0EE7" w:rsidP="00D07244">
            <w:pPr>
              <w:tabs>
                <w:tab w:val="left" w:pos="778"/>
                <w:tab w:val="left" w:pos="1134"/>
              </w:tabs>
              <w:ind w:firstLine="69"/>
              <w:jc w:val="both"/>
              <w:rPr>
                <w:rFonts w:ascii="Tahoma" w:hAnsi="Tahoma" w:cs="Tahoma"/>
                <w:color w:val="000000"/>
              </w:rPr>
            </w:pPr>
            <w:r w:rsidRPr="00EA67AC">
              <w:rPr>
                <w:rFonts w:ascii="Tahoma" w:hAnsi="Tahoma" w:cs="Tahoma"/>
                <w:color w:val="000000"/>
              </w:rPr>
              <w:t>H315</w:t>
            </w:r>
            <w:r w:rsidRPr="00EA67AC">
              <w:rPr>
                <w:rFonts w:ascii="Tahoma" w:hAnsi="Tahoma" w:cs="Tahoma"/>
                <w:color w:val="000000"/>
              </w:rPr>
              <w:tab/>
              <w:t>Bőrirritáló hatású.</w:t>
            </w:r>
          </w:p>
          <w:p w:rsidR="00EF0EE7" w:rsidRPr="00177E5D" w:rsidRDefault="00EF0EE7" w:rsidP="00D07244">
            <w:pPr>
              <w:tabs>
                <w:tab w:val="left" w:pos="778"/>
                <w:tab w:val="left" w:pos="1134"/>
              </w:tabs>
              <w:ind w:firstLine="69"/>
              <w:jc w:val="both"/>
              <w:rPr>
                <w:rFonts w:ascii="Tahoma" w:hAnsi="Tahoma" w:cs="Tahoma"/>
              </w:rPr>
            </w:pPr>
            <w:r w:rsidRPr="00177E5D">
              <w:rPr>
                <w:rFonts w:ascii="Tahoma" w:hAnsi="Tahoma" w:cs="Tahoma"/>
                <w:color w:val="000000"/>
              </w:rPr>
              <w:t>H319</w:t>
            </w:r>
            <w:r w:rsidRPr="00177E5D">
              <w:rPr>
                <w:rFonts w:ascii="Tahoma" w:hAnsi="Tahoma" w:cs="Tahoma"/>
                <w:color w:val="000000"/>
              </w:rPr>
              <w:tab/>
              <w:t>Súlyos szemirritációt okoz.</w:t>
            </w:r>
          </w:p>
          <w:p w:rsidR="00EF0EE7" w:rsidRDefault="00EF0EE7" w:rsidP="00D07244">
            <w:pPr>
              <w:tabs>
                <w:tab w:val="left" w:pos="567"/>
                <w:tab w:val="left" w:pos="742"/>
                <w:tab w:val="left" w:pos="1418"/>
                <w:tab w:val="left" w:pos="4395"/>
              </w:tabs>
              <w:spacing w:before="60"/>
              <w:ind w:firstLine="68"/>
              <w:jc w:val="both"/>
              <w:rPr>
                <w:rFonts w:ascii="Tahoma" w:hAnsi="Tahoma" w:cs="Tahoma"/>
                <w:snapToGrid w:val="0"/>
              </w:rPr>
            </w:pPr>
            <w:r w:rsidRPr="00BD425C">
              <w:rPr>
                <w:rFonts w:ascii="Tahoma" w:hAnsi="Tahoma" w:cs="Tahoma"/>
                <w:b/>
                <w:bCs/>
                <w:snapToGrid w:val="0"/>
              </w:rPr>
              <w:t xml:space="preserve">Óvintézkedésre vonatkozó </w:t>
            </w:r>
            <w:r>
              <w:rPr>
                <w:rFonts w:ascii="Tahoma" w:hAnsi="Tahoma" w:cs="Tahoma"/>
                <w:b/>
                <w:bCs/>
                <w:snapToGrid w:val="0"/>
              </w:rPr>
              <w:t>P-</w:t>
            </w:r>
            <w:r w:rsidRPr="00BD425C">
              <w:rPr>
                <w:rFonts w:ascii="Tahoma" w:hAnsi="Tahoma" w:cs="Tahoma"/>
                <w:b/>
                <w:bCs/>
                <w:snapToGrid w:val="0"/>
              </w:rPr>
              <w:t>mondat</w:t>
            </w:r>
            <w:r>
              <w:rPr>
                <w:rFonts w:ascii="Tahoma" w:hAnsi="Tahoma" w:cs="Tahoma"/>
                <w:b/>
                <w:bCs/>
                <w:snapToGrid w:val="0"/>
              </w:rPr>
              <w:t>ok</w:t>
            </w:r>
            <w:r w:rsidRPr="00BD425C">
              <w:rPr>
                <w:rFonts w:ascii="Tahoma" w:hAnsi="Tahoma" w:cs="Tahoma"/>
                <w:b/>
                <w:bCs/>
                <w:snapToGrid w:val="0"/>
              </w:rPr>
              <w:t>:</w:t>
            </w:r>
          </w:p>
          <w:p w:rsidR="00EF0EE7" w:rsidRPr="00102F47" w:rsidRDefault="00EF0EE7" w:rsidP="00D07244">
            <w:pPr>
              <w:tabs>
                <w:tab w:val="left" w:pos="567"/>
                <w:tab w:val="left" w:pos="742"/>
                <w:tab w:val="left" w:pos="1134"/>
                <w:tab w:val="left" w:pos="4395"/>
              </w:tabs>
              <w:spacing w:before="40"/>
              <w:ind w:firstLine="69"/>
              <w:jc w:val="both"/>
              <w:rPr>
                <w:rFonts w:ascii="Tahoma" w:hAnsi="Tahoma" w:cs="Tahoma"/>
                <w:snapToGrid w:val="0"/>
              </w:rPr>
            </w:pPr>
            <w:r w:rsidRPr="00102F47">
              <w:rPr>
                <w:rFonts w:ascii="Tahoma" w:hAnsi="Tahoma" w:cs="Tahoma"/>
                <w:snapToGrid w:val="0"/>
              </w:rPr>
              <w:t>P102</w:t>
            </w:r>
            <w:r w:rsidRPr="00102F47">
              <w:rPr>
                <w:rFonts w:ascii="Tahoma" w:hAnsi="Tahoma" w:cs="Tahoma"/>
                <w:snapToGrid w:val="0"/>
              </w:rPr>
              <w:tab/>
              <w:t>GYERMEKEKTŐL ELZÁRVA TARTANDÓ.</w:t>
            </w:r>
          </w:p>
          <w:p w:rsidR="00EF0EE7" w:rsidRPr="00102F47" w:rsidRDefault="00EF0EE7" w:rsidP="00D07244">
            <w:pPr>
              <w:tabs>
                <w:tab w:val="left" w:pos="742"/>
                <w:tab w:val="left" w:pos="1134"/>
                <w:tab w:val="left" w:pos="1912"/>
                <w:tab w:val="left" w:pos="2410"/>
                <w:tab w:val="left" w:pos="4395"/>
              </w:tabs>
              <w:spacing w:before="40"/>
              <w:ind w:left="69"/>
              <w:jc w:val="both"/>
              <w:rPr>
                <w:rFonts w:ascii="Tahoma" w:hAnsi="Tahoma" w:cs="Tahoma"/>
                <w:snapToGrid w:val="0"/>
              </w:rPr>
            </w:pPr>
            <w:r w:rsidRPr="00102F47">
              <w:rPr>
                <w:rFonts w:ascii="Tahoma" w:hAnsi="Tahoma" w:cs="Tahoma"/>
                <w:snapToGrid w:val="0"/>
              </w:rPr>
              <w:t>P305+P351+P338</w:t>
            </w:r>
            <w:r w:rsidRPr="00102F47">
              <w:rPr>
                <w:rFonts w:ascii="Tahoma" w:hAnsi="Tahoma" w:cs="Tahoma"/>
                <w:snapToGrid w:val="0"/>
              </w:rPr>
              <w:tab/>
              <w:t xml:space="preserve">SZEMBE KERÜLÉS ESETÉN: Több percig tartó óvatos öblítés vízzel. Adott esetben a kontaktlencsék eltávolítása, ha könnyen megoldható. Az öblítés folytatása. </w:t>
            </w:r>
          </w:p>
          <w:p w:rsidR="00EF0EE7" w:rsidRPr="00102F47" w:rsidRDefault="00EF0EE7" w:rsidP="00D07244">
            <w:pPr>
              <w:tabs>
                <w:tab w:val="left" w:pos="742"/>
                <w:tab w:val="left" w:pos="1134"/>
                <w:tab w:val="left" w:pos="1843"/>
                <w:tab w:val="left" w:pos="2410"/>
                <w:tab w:val="left" w:pos="4395"/>
              </w:tabs>
              <w:ind w:left="1418" w:hanging="1349"/>
              <w:jc w:val="both"/>
              <w:rPr>
                <w:rFonts w:ascii="Tahoma" w:hAnsi="Tahoma" w:cs="Tahoma"/>
                <w:snapToGrid w:val="0"/>
              </w:rPr>
            </w:pPr>
            <w:r w:rsidRPr="00102F47">
              <w:rPr>
                <w:rFonts w:ascii="Tahoma" w:hAnsi="Tahoma" w:cs="Tahoma"/>
                <w:snapToGrid w:val="0"/>
              </w:rPr>
              <w:t>P3</w:t>
            </w:r>
            <w:r>
              <w:rPr>
                <w:rFonts w:ascii="Tahoma" w:hAnsi="Tahoma" w:cs="Tahoma"/>
                <w:snapToGrid w:val="0"/>
              </w:rPr>
              <w:t>02</w:t>
            </w:r>
            <w:r w:rsidRPr="00102F47">
              <w:rPr>
                <w:rFonts w:ascii="Tahoma" w:hAnsi="Tahoma" w:cs="Tahoma"/>
                <w:snapToGrid w:val="0"/>
              </w:rPr>
              <w:t>+P3</w:t>
            </w:r>
            <w:r>
              <w:rPr>
                <w:rFonts w:ascii="Tahoma" w:hAnsi="Tahoma" w:cs="Tahoma"/>
                <w:snapToGrid w:val="0"/>
              </w:rPr>
              <w:t>52</w:t>
            </w:r>
            <w:r>
              <w:rPr>
                <w:rFonts w:ascii="Tahoma" w:hAnsi="Tahoma" w:cs="Tahoma"/>
                <w:snapToGrid w:val="0"/>
              </w:rPr>
              <w:tab/>
            </w:r>
            <w:r w:rsidRPr="00102F47">
              <w:rPr>
                <w:rFonts w:ascii="Tahoma" w:hAnsi="Tahoma" w:cs="Tahoma"/>
                <w:snapToGrid w:val="0"/>
              </w:rPr>
              <w:t>HA BŐRRE KERÜL: Lemosás bő szappanos vízzel.</w:t>
            </w:r>
          </w:p>
          <w:p w:rsidR="00EF0EE7" w:rsidRDefault="00EF0EE7" w:rsidP="005607C0">
            <w:pPr>
              <w:tabs>
                <w:tab w:val="left" w:pos="742"/>
                <w:tab w:val="left" w:pos="1134"/>
                <w:tab w:val="left" w:pos="1843"/>
                <w:tab w:val="left" w:pos="2410"/>
                <w:tab w:val="left" w:pos="4395"/>
              </w:tabs>
              <w:ind w:left="1417" w:hanging="1349"/>
              <w:jc w:val="both"/>
              <w:rPr>
                <w:rFonts w:ascii="Tahoma" w:hAnsi="Tahoma" w:cs="Tahoma"/>
                <w:snapToGrid w:val="0"/>
              </w:rPr>
            </w:pPr>
            <w:r w:rsidRPr="00102F47">
              <w:rPr>
                <w:rFonts w:ascii="Tahoma" w:hAnsi="Tahoma" w:cs="Tahoma"/>
                <w:snapToGrid w:val="0"/>
              </w:rPr>
              <w:t>P337+P313</w:t>
            </w:r>
            <w:r w:rsidRPr="00102F47">
              <w:rPr>
                <w:rFonts w:ascii="Tahoma" w:hAnsi="Tahoma" w:cs="Tahoma"/>
                <w:snapToGrid w:val="0"/>
              </w:rPr>
              <w:tab/>
              <w:t>Ha a szemirritáció nem múlik el: Orvosi ellátást kell kérni.</w:t>
            </w:r>
          </w:p>
          <w:p w:rsidR="00EF0EE7" w:rsidRPr="00F35DE9" w:rsidRDefault="00EF0EE7" w:rsidP="00DF0ADF">
            <w:pPr>
              <w:spacing w:after="60"/>
              <w:ind w:firstLine="68"/>
              <w:rPr>
                <w:rFonts w:ascii="Tahoma" w:hAnsi="Tahoma" w:cs="Tahoma"/>
                <w:snapToGrid w:val="0"/>
              </w:rPr>
            </w:pPr>
            <w:r w:rsidRPr="005607C0">
              <w:rPr>
                <w:rFonts w:ascii="Tahoma" w:hAnsi="Tahoma" w:cs="Tahoma"/>
                <w:snapToGrid w:val="0"/>
              </w:rPr>
              <w:t>P401</w:t>
            </w:r>
            <w:r w:rsidRPr="005607C0">
              <w:rPr>
                <w:rFonts w:ascii="Tahoma" w:hAnsi="Tahoma" w:cs="Tahoma"/>
                <w:snapToGrid w:val="0"/>
              </w:rPr>
              <w:tab/>
              <w:t>Tárolás: +5</w:t>
            </w:r>
            <w:r>
              <w:rPr>
                <w:rFonts w:ascii="Tahoma" w:hAnsi="Tahoma" w:cs="Tahoma"/>
                <w:snapToGrid w:val="0"/>
              </w:rPr>
              <w:t>°</w:t>
            </w:r>
            <w:r w:rsidRPr="005607C0">
              <w:rPr>
                <w:rFonts w:ascii="Tahoma" w:hAnsi="Tahoma" w:cs="Tahoma"/>
                <w:snapToGrid w:val="0"/>
              </w:rPr>
              <w:t>C feletti hőmérsékleten.</w:t>
            </w:r>
          </w:p>
        </w:tc>
      </w:tr>
    </w:tbl>
    <w:bookmarkEnd w:id="0"/>
    <w:p w:rsidR="00EF0EE7" w:rsidRDefault="00EF0EE7" w:rsidP="00845210">
      <w:pPr>
        <w:tabs>
          <w:tab w:val="left" w:pos="426"/>
          <w:tab w:val="left" w:pos="1276"/>
          <w:tab w:val="left" w:pos="6379"/>
        </w:tabs>
        <w:spacing w:before="120" w:after="60"/>
        <w:jc w:val="both"/>
        <w:rPr>
          <w:rFonts w:ascii="Tahoma" w:hAnsi="Tahoma" w:cs="Tahoma"/>
          <w:b/>
          <w:bCs/>
          <w:snapToGrid w:val="0"/>
        </w:rPr>
      </w:pPr>
      <w:r>
        <w:rPr>
          <w:rFonts w:ascii="Tahoma" w:hAnsi="Tahoma" w:cs="Tahoma"/>
          <w:b/>
          <w:bCs/>
          <w:snapToGrid w:val="0"/>
        </w:rPr>
        <w:t xml:space="preserve">Összetétel: </w:t>
      </w:r>
      <w:r>
        <w:rPr>
          <w:rFonts w:ascii="Tahoma" w:hAnsi="Tahoma" w:cs="Tahoma"/>
          <w:snapToGrid w:val="0"/>
        </w:rPr>
        <w:t>szulfaminsav</w:t>
      </w:r>
    </w:p>
    <w:p w:rsidR="00EF0EE7" w:rsidRDefault="00EF0EE7" w:rsidP="00EA67AC">
      <w:pPr>
        <w:tabs>
          <w:tab w:val="left" w:pos="426"/>
          <w:tab w:val="left" w:pos="1276"/>
          <w:tab w:val="left" w:pos="6379"/>
        </w:tabs>
        <w:spacing w:before="120" w:after="60"/>
        <w:jc w:val="both"/>
        <w:rPr>
          <w:rFonts w:ascii="Tahoma" w:hAnsi="Tahoma" w:cs="Tahoma"/>
          <w:snapToGrid w:val="0"/>
        </w:rPr>
      </w:pPr>
      <w:r w:rsidRPr="00964C6F">
        <w:rPr>
          <w:rFonts w:ascii="Tahoma" w:hAnsi="Tahoma" w:cs="Tahoma"/>
          <w:b/>
          <w:bCs/>
          <w:snapToGrid w:val="0"/>
        </w:rPr>
        <w:t>Összetevők a 648/2004/EK rendelet szerint:</w:t>
      </w:r>
      <w:r>
        <w:rPr>
          <w:rFonts w:ascii="Tahoma" w:hAnsi="Tahoma" w:cs="Tahoma"/>
          <w:snapToGrid w:val="0"/>
        </w:rPr>
        <w:t xml:space="preserve"> &lt;5% nem ionos felületaktív anyag, Parfum, Colorant (CI 42090) </w:t>
      </w:r>
    </w:p>
    <w:p w:rsidR="00EF0EE7" w:rsidRDefault="00EF0EE7" w:rsidP="00B71939">
      <w:pPr>
        <w:spacing w:before="80"/>
        <w:jc w:val="both"/>
        <w:rPr>
          <w:rFonts w:ascii="Tahoma" w:hAnsi="Tahoma" w:cs="Tahoma"/>
          <w:b/>
          <w:bCs/>
          <w:snapToGrid w:val="0"/>
        </w:rPr>
      </w:pPr>
      <w:r w:rsidRPr="005F5F67">
        <w:rPr>
          <w:rFonts w:ascii="Tahoma" w:hAnsi="Tahoma" w:cs="Tahoma"/>
          <w:b/>
          <w:bCs/>
          <w:snapToGrid w:val="0"/>
        </w:rPr>
        <w:t>2.3. Egyéb veszély</w:t>
      </w:r>
      <w:r>
        <w:rPr>
          <w:rFonts w:ascii="Tahoma" w:hAnsi="Tahoma" w:cs="Tahoma"/>
          <w:b/>
          <w:bCs/>
          <w:snapToGrid w:val="0"/>
        </w:rPr>
        <w:t>ek, információk</w:t>
      </w:r>
    </w:p>
    <w:p w:rsidR="00EF0EE7" w:rsidRDefault="00EF0EE7" w:rsidP="00102F47">
      <w:pPr>
        <w:jc w:val="both"/>
        <w:rPr>
          <w:rFonts w:ascii="Tahoma" w:hAnsi="Tahoma" w:cs="Tahoma"/>
          <w:snapToGrid w:val="0"/>
        </w:rPr>
      </w:pPr>
      <w:r>
        <w:rPr>
          <w:rFonts w:ascii="Tahoma" w:hAnsi="Tahoma" w:cs="Tahoma"/>
          <w:snapToGrid w:val="0"/>
        </w:rPr>
        <w:t>A</w:t>
      </w:r>
      <w:r w:rsidRPr="00E56761">
        <w:rPr>
          <w:rFonts w:ascii="Tahoma" w:hAnsi="Tahoma" w:cs="Tahoma"/>
          <w:snapToGrid w:val="0"/>
        </w:rPr>
        <w:t xml:space="preserve"> termék nem tartalmaz különös aggodalomra okot ad</w:t>
      </w:r>
      <w:r>
        <w:rPr>
          <w:rFonts w:ascii="Tahoma" w:hAnsi="Tahoma" w:cs="Tahoma"/>
          <w:snapToGrid w:val="0"/>
        </w:rPr>
        <w:t>ó</w:t>
      </w:r>
      <w:r w:rsidRPr="00E56761">
        <w:rPr>
          <w:rFonts w:ascii="Tahoma" w:hAnsi="Tahoma" w:cs="Tahoma"/>
          <w:snapToGrid w:val="0"/>
        </w:rPr>
        <w:t xml:space="preserve"> (SVHC) anyagot, </w:t>
      </w:r>
      <w:r>
        <w:rPr>
          <w:rFonts w:ascii="Tahoma" w:hAnsi="Tahoma" w:cs="Tahoma"/>
          <w:snapToGrid w:val="0"/>
        </w:rPr>
        <w:t xml:space="preserve">illetve olyan anyagot, ami a különös aggodalomra okot adó anyagok jelöltlistáján szerepel; a lista közzétételre kerül a </w:t>
      </w:r>
      <w:r w:rsidRPr="00E56761">
        <w:rPr>
          <w:rFonts w:ascii="Tahoma" w:hAnsi="Tahoma" w:cs="Tahoma"/>
          <w:snapToGrid w:val="0"/>
        </w:rPr>
        <w:t>REACH</w:t>
      </w:r>
      <w:r>
        <w:rPr>
          <w:rFonts w:ascii="Tahoma" w:hAnsi="Tahoma" w:cs="Tahoma"/>
          <w:snapToGrid w:val="0"/>
        </w:rPr>
        <w:br/>
      </w:r>
      <w:r w:rsidRPr="00E56761">
        <w:rPr>
          <w:rFonts w:ascii="Tahoma" w:hAnsi="Tahoma" w:cs="Tahoma"/>
          <w:snapToGrid w:val="0"/>
        </w:rPr>
        <w:t>5</w:t>
      </w:r>
      <w:r>
        <w:rPr>
          <w:rFonts w:ascii="Tahoma" w:hAnsi="Tahoma" w:cs="Tahoma"/>
          <w:snapToGrid w:val="0"/>
        </w:rPr>
        <w:t>9</w:t>
      </w:r>
      <w:r w:rsidRPr="00E56761">
        <w:rPr>
          <w:rFonts w:ascii="Tahoma" w:hAnsi="Tahoma" w:cs="Tahoma"/>
          <w:snapToGrid w:val="0"/>
        </w:rPr>
        <w:t xml:space="preserve">. cikk </w:t>
      </w:r>
      <w:r>
        <w:rPr>
          <w:rFonts w:ascii="Tahoma" w:hAnsi="Tahoma" w:cs="Tahoma"/>
          <w:snapToGrid w:val="0"/>
        </w:rPr>
        <w:t xml:space="preserve">(10) </w:t>
      </w:r>
      <w:r w:rsidRPr="00E56761">
        <w:rPr>
          <w:rFonts w:ascii="Tahoma" w:hAnsi="Tahoma" w:cs="Tahoma"/>
          <w:snapToGrid w:val="0"/>
        </w:rPr>
        <w:t>értelmében</w:t>
      </w:r>
      <w:r>
        <w:rPr>
          <w:rFonts w:ascii="Tahoma" w:hAnsi="Tahoma" w:cs="Tahoma"/>
          <w:snapToGrid w:val="0"/>
        </w:rPr>
        <w:t xml:space="preserve">: </w:t>
      </w:r>
      <w:hyperlink r:id="rId8" w:history="1">
        <w:r w:rsidRPr="00A54E27">
          <w:rPr>
            <w:rStyle w:val="Hyperlink"/>
            <w:rFonts w:ascii="Tahoma" w:hAnsi="Tahoma" w:cs="Tahoma"/>
            <w:snapToGrid w:val="0"/>
          </w:rPr>
          <w:t>http://echa.europa.eu/candidate-list-table</w:t>
        </w:r>
      </w:hyperlink>
    </w:p>
    <w:p w:rsidR="00EF0EE7" w:rsidRDefault="00EF0EE7" w:rsidP="00102F47">
      <w:pPr>
        <w:spacing w:before="120"/>
        <w:rPr>
          <w:rFonts w:ascii="Tahoma" w:hAnsi="Tahoma" w:cs="Tahoma"/>
          <w:snapToGrid w:val="0"/>
        </w:rPr>
      </w:pPr>
      <w:r>
        <w:rPr>
          <w:rFonts w:ascii="Tahoma" w:hAnsi="Tahoma" w:cs="Tahoma"/>
          <w:snapToGrid w:val="0"/>
        </w:rPr>
        <w:t>A termék nem tartalmaz a REACH XIII. mellékletének kritériumai szerinti PBT-, ill. vPvB-anyagot.</w:t>
      </w:r>
    </w:p>
    <w:p w:rsidR="00EF0EE7" w:rsidRDefault="00EF0EE7" w:rsidP="008A684B">
      <w:pPr>
        <w:spacing w:before="120"/>
        <w:jc w:val="both"/>
        <w:rPr>
          <w:rFonts w:ascii="Tahoma" w:hAnsi="Tahoma" w:cs="Tahoma"/>
          <w:snapToGrid w:val="0"/>
        </w:rPr>
      </w:pPr>
      <w:r>
        <w:rPr>
          <w:rFonts w:ascii="Tahoma" w:hAnsi="Tahoma" w:cs="Tahoma"/>
          <w:snapToGrid w:val="0"/>
        </w:rPr>
        <w:t>A termék és összetevői nem szerepelnek a REACH XVII. mellékletében, azaz forgalombahozatalára és felhasználására vonatkozó korlátozás nincs.</w:t>
      </w:r>
    </w:p>
    <w:p w:rsidR="00EF0EE7" w:rsidRDefault="00EF0EE7" w:rsidP="00F36B95">
      <w:pPr>
        <w:keepNext/>
        <w:pBdr>
          <w:top w:val="double" w:sz="4" w:space="1" w:color="auto"/>
          <w:left w:val="double" w:sz="4" w:space="4" w:color="auto"/>
          <w:bottom w:val="double" w:sz="4" w:space="1" w:color="auto"/>
          <w:right w:val="double" w:sz="4" w:space="4" w:color="auto"/>
        </w:pBdr>
        <w:shd w:val="clear" w:color="auto" w:fill="16949A"/>
        <w:tabs>
          <w:tab w:val="left" w:pos="6521"/>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adatok</w:t>
      </w:r>
    </w:p>
    <w:p w:rsidR="00EF0EE7" w:rsidRDefault="00EF0EE7" w:rsidP="0021392C">
      <w:pPr>
        <w:spacing w:after="120"/>
        <w:ind w:left="1276" w:hanging="1276"/>
        <w:jc w:val="both"/>
        <w:rPr>
          <w:rFonts w:ascii="Tahoma" w:hAnsi="Tahoma" w:cs="Tahoma"/>
          <w:snapToGrid w:val="0"/>
        </w:rPr>
      </w:pPr>
      <w:r>
        <w:rPr>
          <w:rFonts w:ascii="Tahoma" w:hAnsi="Tahoma" w:cs="Tahoma"/>
          <w:b/>
          <w:bCs/>
          <w:snapToGrid w:val="0"/>
        </w:rPr>
        <w:t>3.1. K</w:t>
      </w:r>
      <w:r w:rsidRPr="00BE081B">
        <w:rPr>
          <w:rFonts w:ascii="Tahoma" w:hAnsi="Tahoma" w:cs="Tahoma"/>
          <w:b/>
          <w:bCs/>
          <w:snapToGrid w:val="0"/>
        </w:rPr>
        <w:t>émiai jelleg:</w:t>
      </w:r>
      <w:r>
        <w:rPr>
          <w:rFonts w:ascii="Tahoma" w:hAnsi="Tahoma" w:cs="Tahoma"/>
          <w:snapToGrid w:val="0"/>
        </w:rPr>
        <w:t xml:space="preserve"> keverék, vizes oldat.</w:t>
      </w:r>
    </w:p>
    <w:tbl>
      <w:tblPr>
        <w:tblW w:w="8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111"/>
        <w:gridCol w:w="1417"/>
        <w:gridCol w:w="3270"/>
      </w:tblGrid>
      <w:tr w:rsidR="00EF0EE7" w:rsidRPr="00501707">
        <w:trPr>
          <w:cantSplit/>
          <w:trHeight w:val="335"/>
          <w:jc w:val="center"/>
        </w:trPr>
        <w:tc>
          <w:tcPr>
            <w:tcW w:w="4111" w:type="dxa"/>
            <w:vAlign w:val="center"/>
          </w:tcPr>
          <w:p w:rsidR="00EF0EE7" w:rsidRPr="00501707" w:rsidRDefault="00EF0EE7" w:rsidP="0068433E">
            <w:pPr>
              <w:ind w:left="204" w:right="62"/>
              <w:jc w:val="center"/>
              <w:rPr>
                <w:rFonts w:ascii="Tahoma" w:hAnsi="Tahoma" w:cs="Tahoma"/>
                <w:b/>
                <w:bCs/>
                <w:sz w:val="18"/>
                <w:szCs w:val="18"/>
              </w:rPr>
            </w:pPr>
            <w:r w:rsidRPr="00501707">
              <w:rPr>
                <w:rFonts w:ascii="Tahoma" w:hAnsi="Tahoma" w:cs="Tahoma"/>
                <w:b/>
                <w:bCs/>
                <w:sz w:val="18"/>
                <w:szCs w:val="18"/>
              </w:rPr>
              <w:t>Veszélyes összetevő</w:t>
            </w:r>
          </w:p>
        </w:tc>
        <w:tc>
          <w:tcPr>
            <w:tcW w:w="1417" w:type="dxa"/>
            <w:vAlign w:val="center"/>
          </w:tcPr>
          <w:p w:rsidR="00EF0EE7" w:rsidRPr="00501707" w:rsidRDefault="00EF0EE7" w:rsidP="0068433E">
            <w:pPr>
              <w:ind w:left="61" w:right="62"/>
              <w:jc w:val="center"/>
              <w:rPr>
                <w:rFonts w:ascii="Tahoma" w:hAnsi="Tahoma" w:cs="Tahoma"/>
                <w:b/>
                <w:bCs/>
                <w:snapToGrid w:val="0"/>
                <w:sz w:val="18"/>
                <w:szCs w:val="18"/>
              </w:rPr>
            </w:pPr>
            <w:r w:rsidRPr="00501707">
              <w:rPr>
                <w:rFonts w:ascii="Tahoma" w:hAnsi="Tahoma" w:cs="Tahoma"/>
                <w:b/>
                <w:bCs/>
                <w:snapToGrid w:val="0"/>
                <w:sz w:val="18"/>
                <w:szCs w:val="18"/>
              </w:rPr>
              <w:t>Koncentráció</w:t>
            </w:r>
          </w:p>
        </w:tc>
        <w:tc>
          <w:tcPr>
            <w:tcW w:w="3270" w:type="dxa"/>
            <w:vAlign w:val="center"/>
          </w:tcPr>
          <w:p w:rsidR="00EF0EE7" w:rsidRPr="00501707" w:rsidRDefault="00EF0EE7" w:rsidP="00E65D49">
            <w:pPr>
              <w:spacing w:before="80" w:after="80"/>
              <w:ind w:left="204" w:right="62" w:hanging="204"/>
              <w:jc w:val="center"/>
              <w:rPr>
                <w:rFonts w:ascii="Tahoma" w:hAnsi="Tahoma" w:cs="Tahoma"/>
                <w:b/>
                <w:bCs/>
                <w:snapToGrid w:val="0"/>
                <w:sz w:val="18"/>
                <w:szCs w:val="18"/>
              </w:rPr>
            </w:pPr>
            <w:r>
              <w:rPr>
                <w:rFonts w:ascii="Tahoma" w:hAnsi="Tahoma" w:cs="Tahoma"/>
                <w:b/>
                <w:bCs/>
                <w:snapToGrid w:val="0"/>
                <w:sz w:val="18"/>
                <w:szCs w:val="18"/>
              </w:rPr>
              <w:t>Veszélyességi osztály, k</w:t>
            </w:r>
            <w:r w:rsidRPr="00501707">
              <w:rPr>
                <w:rFonts w:ascii="Tahoma" w:hAnsi="Tahoma" w:cs="Tahoma"/>
                <w:b/>
                <w:bCs/>
                <w:snapToGrid w:val="0"/>
                <w:sz w:val="18"/>
                <w:szCs w:val="18"/>
              </w:rPr>
              <w:t>ategória</w:t>
            </w:r>
            <w:r>
              <w:rPr>
                <w:rFonts w:ascii="Tahoma" w:hAnsi="Tahoma" w:cs="Tahoma"/>
                <w:b/>
                <w:bCs/>
                <w:snapToGrid w:val="0"/>
                <w:sz w:val="18"/>
                <w:szCs w:val="18"/>
              </w:rPr>
              <w:t>,</w:t>
            </w:r>
            <w:r w:rsidRPr="00501707">
              <w:rPr>
                <w:rFonts w:ascii="Tahoma" w:hAnsi="Tahoma" w:cs="Tahoma"/>
                <w:b/>
                <w:bCs/>
                <w:snapToGrid w:val="0"/>
                <w:sz w:val="18"/>
                <w:szCs w:val="18"/>
              </w:rPr>
              <w:t xml:space="preserve"> </w:t>
            </w:r>
            <w:r>
              <w:rPr>
                <w:rFonts w:ascii="Tahoma" w:hAnsi="Tahoma" w:cs="Tahoma"/>
                <w:b/>
                <w:bCs/>
                <w:snapToGrid w:val="0"/>
                <w:sz w:val="18"/>
                <w:szCs w:val="18"/>
              </w:rPr>
              <w:br/>
            </w:r>
            <w:r w:rsidRPr="00501707">
              <w:rPr>
                <w:rFonts w:ascii="Tahoma" w:hAnsi="Tahoma" w:cs="Tahoma"/>
                <w:b/>
                <w:bCs/>
                <w:snapToGrid w:val="0"/>
                <w:sz w:val="18"/>
                <w:szCs w:val="18"/>
              </w:rPr>
              <w:t>H-mondat</w:t>
            </w:r>
          </w:p>
        </w:tc>
      </w:tr>
      <w:tr w:rsidR="00EF0EE7" w:rsidRPr="0059199F">
        <w:trPr>
          <w:cantSplit/>
          <w:trHeight w:val="335"/>
          <w:jc w:val="center"/>
        </w:trPr>
        <w:tc>
          <w:tcPr>
            <w:tcW w:w="4111" w:type="dxa"/>
          </w:tcPr>
          <w:p w:rsidR="00EF0EE7" w:rsidRDefault="00EF0EE7" w:rsidP="00EA67AC">
            <w:pPr>
              <w:spacing w:before="40"/>
              <w:ind w:left="62" w:right="62" w:firstLine="102"/>
              <w:rPr>
                <w:rFonts w:ascii="Tahoma" w:hAnsi="Tahoma" w:cs="Tahoma"/>
                <w:snapToGrid w:val="0"/>
                <w:sz w:val="18"/>
                <w:szCs w:val="18"/>
              </w:rPr>
            </w:pPr>
            <w:r>
              <w:rPr>
                <w:rFonts w:ascii="Tahoma" w:hAnsi="Tahoma" w:cs="Tahoma"/>
                <w:snapToGrid w:val="0"/>
                <w:sz w:val="18"/>
                <w:szCs w:val="18"/>
              </w:rPr>
              <w:t>Szulfaminsav</w:t>
            </w:r>
            <w:r>
              <w:rPr>
                <w:rStyle w:val="FootnoteReference"/>
                <w:rFonts w:ascii="Tahoma" w:hAnsi="Tahoma" w:cs="Tahoma"/>
                <w:snapToGrid w:val="0"/>
                <w:sz w:val="18"/>
                <w:szCs w:val="18"/>
              </w:rPr>
              <w:footnoteReference w:id="2"/>
            </w:r>
            <w:r>
              <w:rPr>
                <w:rFonts w:ascii="Tahoma" w:hAnsi="Tahoma" w:cs="Tahoma"/>
                <w:snapToGrid w:val="0"/>
                <w:sz w:val="18"/>
                <w:szCs w:val="18"/>
              </w:rPr>
              <w:t xml:space="preserve"> </w:t>
            </w:r>
          </w:p>
          <w:p w:rsidR="00EF0EE7" w:rsidRDefault="00EF0EE7" w:rsidP="00903A13">
            <w:pPr>
              <w:ind w:left="62" w:right="62" w:firstLine="100"/>
              <w:rPr>
                <w:rFonts w:ascii="Tahoma" w:hAnsi="Tahoma" w:cs="Tahoma"/>
                <w:snapToGrid w:val="0"/>
                <w:sz w:val="18"/>
                <w:szCs w:val="18"/>
              </w:rPr>
            </w:pPr>
            <w:r>
              <w:rPr>
                <w:rFonts w:ascii="Tahoma" w:hAnsi="Tahoma" w:cs="Tahoma"/>
                <w:snapToGrid w:val="0"/>
                <w:sz w:val="18"/>
                <w:szCs w:val="18"/>
              </w:rPr>
              <w:t>CAS-szám: 5329-14-6</w:t>
            </w:r>
            <w:r>
              <w:rPr>
                <w:rFonts w:ascii="Tahoma" w:hAnsi="Tahoma" w:cs="Tahoma"/>
                <w:snapToGrid w:val="0"/>
                <w:sz w:val="18"/>
                <w:szCs w:val="18"/>
              </w:rPr>
              <w:tab/>
              <w:t>EK-szám: 226-218-8</w:t>
            </w:r>
          </w:p>
          <w:p w:rsidR="00EF0EE7" w:rsidRDefault="00EF0EE7" w:rsidP="009962E7">
            <w:pPr>
              <w:ind w:left="62" w:right="62" w:firstLine="100"/>
              <w:rPr>
                <w:rFonts w:ascii="Tahoma" w:hAnsi="Tahoma" w:cs="Tahoma"/>
                <w:snapToGrid w:val="0"/>
                <w:sz w:val="18"/>
                <w:szCs w:val="18"/>
              </w:rPr>
            </w:pPr>
            <w:r>
              <w:rPr>
                <w:rFonts w:ascii="Tahoma" w:hAnsi="Tahoma" w:cs="Tahoma"/>
                <w:snapToGrid w:val="0"/>
                <w:sz w:val="18"/>
                <w:szCs w:val="18"/>
              </w:rPr>
              <w:t>Index-szám:016-026-00-0</w:t>
            </w:r>
          </w:p>
        </w:tc>
        <w:tc>
          <w:tcPr>
            <w:tcW w:w="1417" w:type="dxa"/>
            <w:vAlign w:val="center"/>
          </w:tcPr>
          <w:p w:rsidR="00EF0EE7" w:rsidRDefault="00EF0EE7" w:rsidP="00903A13">
            <w:pPr>
              <w:ind w:right="62"/>
              <w:jc w:val="center"/>
              <w:rPr>
                <w:rFonts w:ascii="Tahoma" w:hAnsi="Tahoma" w:cs="Tahoma"/>
                <w:snapToGrid w:val="0"/>
                <w:sz w:val="18"/>
                <w:szCs w:val="18"/>
              </w:rPr>
            </w:pPr>
            <w:r>
              <w:rPr>
                <w:rFonts w:ascii="Tahoma" w:hAnsi="Tahoma" w:cs="Tahoma"/>
                <w:snapToGrid w:val="0"/>
                <w:sz w:val="18"/>
                <w:szCs w:val="18"/>
              </w:rPr>
              <w:t>5 – &lt;10%</w:t>
            </w:r>
          </w:p>
        </w:tc>
        <w:tc>
          <w:tcPr>
            <w:tcW w:w="3270" w:type="dxa"/>
            <w:vAlign w:val="center"/>
          </w:tcPr>
          <w:p w:rsidR="00EF0EE7" w:rsidRDefault="00EF0EE7" w:rsidP="00EA67AC">
            <w:pPr>
              <w:spacing w:before="20"/>
              <w:ind w:left="148" w:right="62" w:hanging="25"/>
              <w:rPr>
                <w:rFonts w:ascii="Tahoma" w:hAnsi="Tahoma" w:cs="Tahoma"/>
                <w:snapToGrid w:val="0"/>
                <w:sz w:val="18"/>
                <w:szCs w:val="18"/>
              </w:rPr>
            </w:pPr>
            <w:r>
              <w:rPr>
                <w:rFonts w:ascii="Tahoma" w:hAnsi="Tahoma" w:cs="Tahoma"/>
                <w:snapToGrid w:val="0"/>
                <w:sz w:val="18"/>
                <w:szCs w:val="18"/>
              </w:rPr>
              <w:t>Skin Irrit. 2, H315; Eye Irrit. 2, H319; Aquatic Chronic 3, H412</w:t>
            </w:r>
          </w:p>
        </w:tc>
      </w:tr>
      <w:tr w:rsidR="00EF0EE7" w:rsidRPr="0059199F">
        <w:trPr>
          <w:cantSplit/>
          <w:trHeight w:val="335"/>
          <w:jc w:val="center"/>
        </w:trPr>
        <w:tc>
          <w:tcPr>
            <w:tcW w:w="4111" w:type="dxa"/>
            <w:vAlign w:val="center"/>
          </w:tcPr>
          <w:p w:rsidR="00EF0EE7" w:rsidRDefault="00EF0EE7" w:rsidP="00DB1675">
            <w:pPr>
              <w:tabs>
                <w:tab w:val="left" w:pos="2153"/>
              </w:tabs>
              <w:spacing w:before="20"/>
              <w:ind w:left="57" w:right="215" w:firstLine="91"/>
              <w:rPr>
                <w:rFonts w:ascii="Tahoma" w:hAnsi="Tahoma" w:cs="Tahoma"/>
                <w:sz w:val="18"/>
                <w:szCs w:val="18"/>
              </w:rPr>
            </w:pPr>
            <w:r>
              <w:rPr>
                <w:rFonts w:ascii="Tahoma" w:hAnsi="Tahoma" w:cs="Tahoma"/>
                <w:sz w:val="18"/>
                <w:szCs w:val="18"/>
              </w:rPr>
              <w:t>N,N-dimetil-tetradecilamin-N-oxid</w:t>
            </w:r>
            <w:r>
              <w:rPr>
                <w:rStyle w:val="FootnoteReference"/>
                <w:rFonts w:ascii="Tahoma" w:hAnsi="Tahoma" w:cs="Tahoma"/>
                <w:sz w:val="18"/>
                <w:szCs w:val="18"/>
              </w:rPr>
              <w:footnoteReference w:id="3"/>
            </w:r>
          </w:p>
          <w:p w:rsidR="00EF0EE7" w:rsidRPr="0059199F" w:rsidRDefault="00EF0EE7" w:rsidP="00DB1675">
            <w:pPr>
              <w:tabs>
                <w:tab w:val="left" w:pos="1997"/>
              </w:tabs>
              <w:spacing w:before="20"/>
              <w:ind w:left="57" w:right="215" w:firstLine="91"/>
              <w:rPr>
                <w:rFonts w:ascii="Tahoma" w:hAnsi="Tahoma" w:cs="Tahoma"/>
                <w:sz w:val="18"/>
                <w:szCs w:val="18"/>
              </w:rPr>
            </w:pPr>
            <w:r>
              <w:rPr>
                <w:rFonts w:ascii="Tahoma" w:hAnsi="Tahoma" w:cs="Tahoma"/>
                <w:sz w:val="18"/>
                <w:szCs w:val="18"/>
              </w:rPr>
              <w:t>CAS-szám: 3332-27-2</w:t>
            </w:r>
            <w:r>
              <w:rPr>
                <w:rFonts w:ascii="Tahoma" w:hAnsi="Tahoma" w:cs="Tahoma"/>
                <w:sz w:val="18"/>
                <w:szCs w:val="18"/>
              </w:rPr>
              <w:tab/>
              <w:t>EK-szám: 222-059-3</w:t>
            </w:r>
          </w:p>
        </w:tc>
        <w:tc>
          <w:tcPr>
            <w:tcW w:w="1417" w:type="dxa"/>
            <w:vAlign w:val="center"/>
          </w:tcPr>
          <w:p w:rsidR="00EF0EE7" w:rsidRDefault="00EF0EE7" w:rsidP="00B5250F">
            <w:pPr>
              <w:ind w:left="61" w:right="62"/>
              <w:jc w:val="center"/>
              <w:rPr>
                <w:rFonts w:ascii="Tahoma" w:hAnsi="Tahoma" w:cs="Tahoma"/>
                <w:snapToGrid w:val="0"/>
                <w:sz w:val="18"/>
                <w:szCs w:val="18"/>
              </w:rPr>
            </w:pPr>
            <w:r>
              <w:rPr>
                <w:rFonts w:ascii="Tahoma" w:hAnsi="Tahoma" w:cs="Tahoma"/>
                <w:snapToGrid w:val="0"/>
                <w:sz w:val="18"/>
                <w:szCs w:val="18"/>
              </w:rPr>
              <w:t>&lt;1%</w:t>
            </w:r>
          </w:p>
        </w:tc>
        <w:tc>
          <w:tcPr>
            <w:tcW w:w="3270" w:type="dxa"/>
            <w:vAlign w:val="center"/>
          </w:tcPr>
          <w:p w:rsidR="00EF0EE7" w:rsidRDefault="00EF0EE7" w:rsidP="00DB1675">
            <w:pPr>
              <w:tabs>
                <w:tab w:val="left" w:pos="650"/>
              </w:tabs>
              <w:spacing w:before="40"/>
              <w:ind w:left="204" w:hanging="62"/>
              <w:rPr>
                <w:rFonts w:ascii="Tahoma" w:hAnsi="Tahoma" w:cs="Tahoma"/>
                <w:snapToGrid w:val="0"/>
                <w:sz w:val="18"/>
                <w:szCs w:val="18"/>
              </w:rPr>
            </w:pPr>
            <w:r>
              <w:rPr>
                <w:rFonts w:ascii="Tahoma" w:hAnsi="Tahoma" w:cs="Tahoma"/>
                <w:snapToGrid w:val="0"/>
                <w:sz w:val="18"/>
                <w:szCs w:val="18"/>
              </w:rPr>
              <w:t>Acute Tox. (oral) 4, H302</w:t>
            </w:r>
          </w:p>
          <w:p w:rsidR="00EF0EE7" w:rsidRDefault="00EF0EE7" w:rsidP="005D6C4F">
            <w:pPr>
              <w:tabs>
                <w:tab w:val="left" w:pos="650"/>
              </w:tabs>
              <w:ind w:left="204" w:hanging="62"/>
              <w:rPr>
                <w:rFonts w:ascii="Tahoma" w:hAnsi="Tahoma" w:cs="Tahoma"/>
                <w:snapToGrid w:val="0"/>
                <w:sz w:val="18"/>
                <w:szCs w:val="18"/>
              </w:rPr>
            </w:pPr>
            <w:r>
              <w:rPr>
                <w:rFonts w:ascii="Tahoma" w:hAnsi="Tahoma" w:cs="Tahoma"/>
                <w:snapToGrid w:val="0"/>
                <w:sz w:val="18"/>
                <w:szCs w:val="18"/>
              </w:rPr>
              <w:t>Eye Dam. 1, H318, Skin Irrit. 2, H315</w:t>
            </w:r>
          </w:p>
          <w:p w:rsidR="00EF0EE7" w:rsidRDefault="00EF0EE7" w:rsidP="00A1655E">
            <w:pPr>
              <w:tabs>
                <w:tab w:val="left" w:pos="650"/>
              </w:tabs>
              <w:spacing w:after="60"/>
              <w:ind w:left="204" w:hanging="62"/>
              <w:rPr>
                <w:rFonts w:ascii="Tahoma" w:hAnsi="Tahoma" w:cs="Tahoma"/>
                <w:snapToGrid w:val="0"/>
                <w:sz w:val="18"/>
                <w:szCs w:val="18"/>
              </w:rPr>
            </w:pPr>
            <w:r>
              <w:rPr>
                <w:rFonts w:ascii="Tahoma" w:hAnsi="Tahoma" w:cs="Tahoma"/>
                <w:snapToGrid w:val="0"/>
                <w:sz w:val="18"/>
                <w:szCs w:val="18"/>
              </w:rPr>
              <w:t>Aquatic Acute 1, H400; M</w:t>
            </w:r>
            <w:r w:rsidRPr="00B71939">
              <w:rPr>
                <w:rFonts w:ascii="Tahoma" w:hAnsi="Tahoma" w:cs="Tahoma"/>
                <w:snapToGrid w:val="0"/>
                <w:sz w:val="18"/>
                <w:szCs w:val="18"/>
                <w:vertAlign w:val="subscript"/>
              </w:rPr>
              <w:t>(akut)</w:t>
            </w:r>
            <w:r>
              <w:rPr>
                <w:rFonts w:ascii="Tahoma" w:hAnsi="Tahoma" w:cs="Tahoma"/>
                <w:snapToGrid w:val="0"/>
                <w:sz w:val="18"/>
                <w:szCs w:val="18"/>
              </w:rPr>
              <w:t>:1</w:t>
            </w:r>
          </w:p>
        </w:tc>
      </w:tr>
    </w:tbl>
    <w:p w:rsidR="00EF0EE7" w:rsidRDefault="00EF0EE7" w:rsidP="008C1723">
      <w:pPr>
        <w:pStyle w:val="BodyTextIndent"/>
        <w:spacing w:before="120"/>
        <w:ind w:left="0"/>
      </w:pPr>
      <w:r w:rsidRPr="00CC1500">
        <w:t>A gyártó más veszélyes összetevő jelenlétét nem jelzi</w:t>
      </w:r>
      <w:r>
        <w:t xml:space="preserve">. </w:t>
      </w:r>
    </w:p>
    <w:p w:rsidR="00EF0EE7" w:rsidRDefault="00EF0EE7" w:rsidP="00EA67AC">
      <w:pPr>
        <w:pStyle w:val="BodyTextIndent"/>
        <w:spacing w:before="0"/>
        <w:ind w:left="0"/>
      </w:pPr>
      <w:r>
        <w:t xml:space="preserve">Az </w:t>
      </w:r>
      <w:r w:rsidRPr="00CC1500">
        <w:t>egyéb összetevő</w:t>
      </w:r>
      <w:r>
        <w:t>k (színezék, korróziós inhibitor, víz, stb.)</w:t>
      </w:r>
      <w:r w:rsidRPr="00CC1500">
        <w:t xml:space="preserve"> </w:t>
      </w:r>
      <w:r>
        <w:t>n</w:t>
      </w:r>
      <w:r w:rsidRPr="00CC1500">
        <w:t>em tekinthetők a hatályos jogszabályok szerint veszélyes anyagnak vagy koncentrációjuk a termékben nem éri el azt a mértéket, amely fölött jelenlét</w:t>
      </w:r>
      <w:r>
        <w:t>üket</w:t>
      </w:r>
      <w:r w:rsidRPr="00CC1500">
        <w:t xml:space="preserve"> a veszélyesség szerinti besorolásnál fel kell tüntetni, ill</w:t>
      </w:r>
      <w:r>
        <w:t>.</w:t>
      </w:r>
      <w:r w:rsidRPr="00CC1500">
        <w:t xml:space="preserve"> figyelembe kell venni.</w:t>
      </w:r>
    </w:p>
    <w:p w:rsidR="00EF0EE7" w:rsidRPr="00B71939" w:rsidRDefault="00EF0EE7" w:rsidP="00A2200F">
      <w:pPr>
        <w:tabs>
          <w:tab w:val="left" w:pos="284"/>
        </w:tabs>
        <w:spacing w:before="40"/>
        <w:jc w:val="both"/>
        <w:rPr>
          <w:rFonts w:ascii="Tahoma" w:hAnsi="Tahoma" w:cs="Tahoma"/>
          <w:snapToGrid w:val="0"/>
          <w:sz w:val="18"/>
          <w:szCs w:val="18"/>
        </w:rPr>
      </w:pPr>
      <w:r w:rsidRPr="00B71939">
        <w:rPr>
          <w:rFonts w:ascii="Tahoma" w:hAnsi="Tahoma" w:cs="Tahoma"/>
          <w:snapToGrid w:val="0"/>
          <w:sz w:val="18"/>
          <w:szCs w:val="18"/>
        </w:rPr>
        <w:t>A veszélyességi osztályok, H-mondatok a tiszta komponensekre vonatkoznak, a termék veszélyesség szerinti besorolását a 2. szakasz adja meg. A H-mondatok teljes szövegét lásd a 16. szakaszban.</w:t>
      </w:r>
    </w:p>
    <w:p w:rsidR="00EF0EE7" w:rsidRDefault="00EF0EE7"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EF0EE7" w:rsidRPr="005840A9" w:rsidRDefault="00EF0EE7" w:rsidP="005D6C4F">
      <w:pPr>
        <w:pStyle w:val="BodyTextIndent"/>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EF0EE7" w:rsidRPr="005840A9" w:rsidRDefault="00EF0EE7" w:rsidP="005D6C4F">
      <w:pPr>
        <w:pStyle w:val="BodyTextIndent"/>
        <w:spacing w:before="40"/>
        <w:ind w:left="0"/>
        <w:rPr>
          <w:b/>
          <w:bCs/>
        </w:rPr>
      </w:pPr>
      <w:r w:rsidRPr="005840A9">
        <w:rPr>
          <w:b/>
          <w:bCs/>
        </w:rPr>
        <w:t>4.1. Az elsősegély-nyújtási intézkedések ismertetése</w:t>
      </w:r>
    </w:p>
    <w:p w:rsidR="00EF0EE7" w:rsidRDefault="00EF0EE7" w:rsidP="005D6C4F">
      <w:pPr>
        <w:pStyle w:val="BodyTextIndent"/>
        <w:spacing w:before="40"/>
        <w:ind w:left="0"/>
      </w:pPr>
      <w:r w:rsidRPr="001451C7">
        <w:rPr>
          <w:b/>
          <w:bCs/>
        </w:rPr>
        <w:t>Belélegzés esetén:</w:t>
      </w:r>
      <w:r w:rsidRPr="001451C7">
        <w:t xml:space="preserve"> </w:t>
      </w:r>
      <w:r>
        <w:t>a</w:t>
      </w:r>
      <w:r w:rsidRPr="001451C7">
        <w:t xml:space="preserve"> sérültet friss levegőre kell vinni</w:t>
      </w:r>
      <w:r>
        <w:t>, várhatóan nem igényel elsősegély-nyújtást.</w:t>
      </w:r>
    </w:p>
    <w:p w:rsidR="00EF0EE7" w:rsidRDefault="00EF0EE7" w:rsidP="005D6C4F">
      <w:pPr>
        <w:pStyle w:val="BodyTextIndent"/>
        <w:spacing w:before="40"/>
        <w:ind w:left="0"/>
      </w:pPr>
      <w:r>
        <w:rPr>
          <w:b/>
          <w:bCs/>
        </w:rPr>
        <w:t>B</w:t>
      </w:r>
      <w:r w:rsidRPr="001451C7">
        <w:rPr>
          <w:b/>
          <w:bCs/>
        </w:rPr>
        <w:t>őrrel való érintkezés esetén:</w:t>
      </w:r>
      <w:r>
        <w:t xml:space="preserve"> mossuk szappannal és vízzel az érintett bőrfelületet, majd folyó</w:t>
      </w:r>
      <w:r w:rsidRPr="001451C7">
        <w:t>vízzel</w:t>
      </w:r>
      <w:r>
        <w:t xml:space="preserve"> alaposan</w:t>
      </w:r>
      <w:r w:rsidRPr="001451C7">
        <w:t xml:space="preserve"> </w:t>
      </w:r>
      <w:r>
        <w:t>öblítsük le.</w:t>
      </w:r>
    </w:p>
    <w:p w:rsidR="00EF0EE7" w:rsidRPr="001451C7" w:rsidRDefault="00EF0EE7" w:rsidP="005D6C4F">
      <w:pPr>
        <w:pStyle w:val="BodyTextIndent"/>
        <w:spacing w:before="20"/>
        <w:ind w:left="0"/>
      </w:pPr>
      <w:r w:rsidRPr="001451C7">
        <w:rPr>
          <w:b/>
          <w:bCs/>
        </w:rPr>
        <w:t>Szembe kerülése esetén:</w:t>
      </w:r>
      <w:r w:rsidRPr="001451C7">
        <w:t xml:space="preserve"> </w:t>
      </w:r>
      <w:r>
        <w:t xml:space="preserve">alapos, legalább 5 – 10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EF0EE7" w:rsidRDefault="00EF0EE7" w:rsidP="005D6C4F">
      <w:pPr>
        <w:pStyle w:val="BodyTextIndent"/>
        <w:spacing w:before="40"/>
        <w:ind w:left="0"/>
        <w:rPr>
          <w:b/>
          <w:bCs/>
        </w:rPr>
      </w:pPr>
      <w:r w:rsidRPr="001451C7">
        <w:rPr>
          <w:b/>
          <w:bCs/>
        </w:rPr>
        <w:t>Lenyelés esetén</w:t>
      </w:r>
      <w:r w:rsidRPr="001451C7">
        <w:t xml:space="preserve">: </w:t>
      </w:r>
      <w:r>
        <w:t xml:space="preserve">a </w:t>
      </w:r>
      <w:r w:rsidRPr="001451C7">
        <w:t>szájat</w:t>
      </w:r>
      <w:r>
        <w:t xml:space="preserve"> azonnal </w:t>
      </w:r>
      <w:r w:rsidRPr="001451C7">
        <w:t>öblítsük vízzel</w:t>
      </w:r>
      <w:r>
        <w:t xml:space="preserve">, majd igyunk vizet. Nagy mennyiségek lenyelése esetén </w:t>
      </w:r>
      <w:r w:rsidRPr="001451C7">
        <w:t>forduljunk orvoshoz</w:t>
      </w:r>
      <w:r>
        <w:t>, mutassuk meg a címkét és vagy a biztonsági adatlapot.</w:t>
      </w:r>
    </w:p>
    <w:p w:rsidR="00EF0EE7" w:rsidRPr="001C77FE" w:rsidRDefault="00EF0EE7" w:rsidP="005D6C4F">
      <w:pPr>
        <w:pStyle w:val="BodyTextIndent"/>
        <w:spacing w:before="40"/>
        <w:ind w:left="0"/>
      </w:pPr>
      <w:r w:rsidRPr="005840A9">
        <w:rPr>
          <w:b/>
          <w:bCs/>
        </w:rPr>
        <w:t>4.2. A legfontosabb – akut és késleltetett – tünetek és hatások:</w:t>
      </w:r>
      <w:r w:rsidRPr="001C77FE">
        <w:t xml:space="preserve"> </w:t>
      </w:r>
      <w:r>
        <w:t xml:space="preserve">szembejutva </w:t>
      </w:r>
      <w:r w:rsidRPr="001C77FE">
        <w:t>irritálhat</w:t>
      </w:r>
      <w:r>
        <w:t>, szemkárosodást okozhat hosszas és tartós érintkezés esetén.</w:t>
      </w:r>
      <w:r w:rsidRPr="001C77FE">
        <w:t xml:space="preserve"> </w:t>
      </w:r>
    </w:p>
    <w:p w:rsidR="00EF0EE7" w:rsidRDefault="00EF0EE7" w:rsidP="005D6C4F">
      <w:pPr>
        <w:pStyle w:val="BodyTextIndent"/>
        <w:spacing w:before="40"/>
        <w:ind w:left="0"/>
      </w:pPr>
      <w:r w:rsidRPr="005840A9">
        <w:rPr>
          <w:b/>
          <w:bCs/>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p>
    <w:p w:rsidR="00EF0EE7" w:rsidRPr="00430026" w:rsidRDefault="00EF0EE7" w:rsidP="005D6C4F">
      <w:pPr>
        <w:pStyle w:val="BodyTextIndent"/>
        <w:spacing w:before="40"/>
        <w:ind w:left="0"/>
      </w:pPr>
      <w:r>
        <w:rPr>
          <w:b/>
          <w:bCs/>
        </w:rPr>
        <w:t>M</w:t>
      </w:r>
      <w:r w:rsidRPr="00430026">
        <w:rPr>
          <w:b/>
          <w:bCs/>
        </w:rPr>
        <w:t>egjegyzés az orvos számára:</w:t>
      </w:r>
      <w:r w:rsidRPr="00430026">
        <w:t xml:space="preserve"> </w:t>
      </w:r>
      <w:r>
        <w:t>k</w:t>
      </w:r>
      <w:r w:rsidRPr="00430026">
        <w:t>ezeljen a tüneteknek megfelelően.</w:t>
      </w:r>
    </w:p>
    <w:p w:rsidR="00EF0EE7" w:rsidRDefault="00EF0EE7"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EF0EE7" w:rsidRDefault="00EF0EE7" w:rsidP="005D6C4F">
      <w:pPr>
        <w:tabs>
          <w:tab w:val="left" w:pos="2400"/>
        </w:tabs>
        <w:jc w:val="both"/>
        <w:rPr>
          <w:rFonts w:ascii="Tahoma" w:hAnsi="Tahoma" w:cs="Tahoma"/>
          <w:snapToGrid w:val="0"/>
        </w:rPr>
      </w:pPr>
      <w:r w:rsidRPr="0014339B">
        <w:rPr>
          <w:rFonts w:ascii="Tahoma" w:hAnsi="Tahoma" w:cs="Tahoma"/>
          <w:b/>
          <w:bCs/>
          <w:snapToGrid w:val="0"/>
        </w:rPr>
        <w:t xml:space="preserve">5.1. Megfelelő oltóanyag: </w:t>
      </w:r>
      <w:r w:rsidRPr="005717D0">
        <w:rPr>
          <w:rFonts w:ascii="Tahoma" w:hAnsi="Tahoma" w:cs="Tahoma"/>
          <w:snapToGrid w:val="0"/>
        </w:rPr>
        <w:t>oltóhab, oltópor, szén-dioxid, vízpermet, homok.</w:t>
      </w:r>
    </w:p>
    <w:p w:rsidR="00EF0EE7" w:rsidRPr="005717D0" w:rsidRDefault="00EF0EE7" w:rsidP="005D6C4F">
      <w:pPr>
        <w:tabs>
          <w:tab w:val="left" w:pos="2400"/>
        </w:tabs>
        <w:jc w:val="both"/>
        <w:rPr>
          <w:rFonts w:ascii="Tahoma" w:hAnsi="Tahoma" w:cs="Tahoma"/>
          <w:snapToGrid w:val="0"/>
        </w:rPr>
      </w:pPr>
      <w:r w:rsidRPr="005717D0">
        <w:rPr>
          <w:rFonts w:ascii="Tahoma" w:hAnsi="Tahoma" w:cs="Tahoma"/>
          <w:snapToGrid w:val="0"/>
        </w:rPr>
        <w:t>A környezetben égő anyagok alapján kell meghatározni.</w:t>
      </w:r>
    </w:p>
    <w:p w:rsidR="00EF0EE7" w:rsidRPr="0014339B" w:rsidRDefault="00EF0EE7" w:rsidP="005D6C4F">
      <w:pPr>
        <w:tabs>
          <w:tab w:val="left" w:pos="2400"/>
        </w:tabs>
        <w:ind w:firstLine="426"/>
        <w:jc w:val="both"/>
        <w:rPr>
          <w:rFonts w:ascii="Tahoma" w:hAnsi="Tahoma" w:cs="Tahoma"/>
          <w:snapToGrid w:val="0"/>
        </w:rPr>
      </w:pPr>
      <w:r w:rsidRPr="00710AEF">
        <w:rPr>
          <w:rFonts w:ascii="Tahoma" w:hAnsi="Tahoma" w:cs="Tahoma"/>
          <w:b/>
          <w:bCs/>
          <w:snapToGrid w:val="0"/>
        </w:rPr>
        <w:t>Alkalmatlan oltóanyag:</w:t>
      </w:r>
      <w:r>
        <w:rPr>
          <w:rFonts w:ascii="Tahoma" w:hAnsi="Tahoma" w:cs="Tahoma"/>
          <w:snapToGrid w:val="0"/>
        </w:rPr>
        <w:t xml:space="preserve"> nem ismert.</w:t>
      </w:r>
    </w:p>
    <w:p w:rsidR="00EF0EE7" w:rsidRDefault="00EF0EE7" w:rsidP="005D6C4F">
      <w:pPr>
        <w:spacing w:before="40"/>
        <w:jc w:val="both"/>
        <w:rPr>
          <w:rFonts w:ascii="Tahoma" w:hAnsi="Tahoma" w:cs="Tahoma"/>
          <w:snapToGrid w:val="0"/>
          <w:spacing w:val="-2"/>
        </w:rPr>
      </w:pPr>
      <w:r w:rsidRPr="0014339B">
        <w:rPr>
          <w:rFonts w:ascii="Tahoma" w:hAnsi="Tahoma" w:cs="Tahoma"/>
          <w:b/>
          <w:bCs/>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a szulfaminsav hevítése, illetve égése, bomlása során mérgező, maró hatású gázok (nitrogén-oxidok, kén-oxidok, ammónia) képződhetnek.</w:t>
      </w:r>
    </w:p>
    <w:p w:rsidR="00EF0EE7" w:rsidRPr="0014339B" w:rsidRDefault="00EF0EE7" w:rsidP="005D6C4F">
      <w:pPr>
        <w:spacing w:before="40"/>
        <w:jc w:val="both"/>
        <w:rPr>
          <w:rFonts w:ascii="Tahoma" w:hAnsi="Tahoma" w:cs="Tahoma"/>
          <w:snapToGrid w:val="0"/>
        </w:rPr>
      </w:pPr>
      <w:r w:rsidRPr="0014339B">
        <w:rPr>
          <w:rFonts w:ascii="Tahoma" w:hAnsi="Tahoma" w:cs="Tahoma"/>
          <w:b/>
          <w:bCs/>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EF0EE7" w:rsidRPr="00A254C1" w:rsidRDefault="00EF0EE7" w:rsidP="005D6C4F">
      <w:pPr>
        <w:spacing w:before="60"/>
        <w:jc w:val="both"/>
        <w:rPr>
          <w:rFonts w:ascii="Tahoma" w:hAnsi="Tahoma" w:cs="Tahoma"/>
          <w:snapToGrid w:val="0"/>
        </w:rPr>
      </w:pPr>
      <w:r>
        <w:rPr>
          <w:rFonts w:ascii="Tahoma" w:hAnsi="Tahoma" w:cs="Tahoma"/>
          <w:b/>
          <w:bCs/>
          <w:snapToGrid w:val="0"/>
        </w:rPr>
        <w:t xml:space="preserve">5.4. </w:t>
      </w:r>
      <w:r w:rsidRPr="00A254C1">
        <w:rPr>
          <w:rFonts w:ascii="Tahoma" w:hAnsi="Tahoma" w:cs="Tahoma"/>
          <w:b/>
          <w:bCs/>
          <w:snapToGrid w:val="0"/>
        </w:rPr>
        <w:t>Egyéb információ:</w:t>
      </w:r>
      <w:r w:rsidRPr="00A254C1">
        <w:rPr>
          <w:rFonts w:ascii="Tahoma" w:hAnsi="Tahoma" w:cs="Tahoma"/>
          <w:snapToGrid w:val="0"/>
        </w:rPr>
        <w:t xml:space="preserve"> a termék nem tűzveszélyes</w:t>
      </w:r>
      <w:r>
        <w:rPr>
          <w:rFonts w:ascii="Tahoma" w:hAnsi="Tahoma" w:cs="Tahoma"/>
          <w:snapToGrid w:val="0"/>
        </w:rPr>
        <w:t xml:space="preserve">, nem robbanásveszélyes, nem öngyulladó, de éghető. </w:t>
      </w:r>
    </w:p>
    <w:p w:rsidR="00EF0EE7" w:rsidRDefault="00EF0EE7"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EF0EE7" w:rsidRPr="00A37543" w:rsidRDefault="00EF0EE7" w:rsidP="009C0503">
      <w:pPr>
        <w:jc w:val="both"/>
        <w:rPr>
          <w:rFonts w:ascii="Tahoma" w:hAnsi="Tahoma" w:cs="Tahoma"/>
          <w:snapToGrid w:val="0"/>
          <w:spacing w:val="-2"/>
        </w:rPr>
      </w:pPr>
      <w:r w:rsidRPr="0014339B">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A37543">
        <w:rPr>
          <w:rFonts w:ascii="Tahoma" w:hAnsi="Tahoma" w:cs="Tahoma"/>
          <w:snapToGrid w:val="0"/>
        </w:rPr>
        <w:t>ügyeljünk a csúszásveszélyre, ha</w:t>
      </w:r>
      <w:r>
        <w:rPr>
          <w:rFonts w:ascii="Tahoma" w:hAnsi="Tahoma" w:cs="Tahoma"/>
          <w:snapToGrid w:val="0"/>
        </w:rPr>
        <w:t xml:space="preserve">sználjuk védőkesztyűt a mentesítéskor, amennyiben </w:t>
      </w:r>
      <w:r w:rsidRPr="00A37543">
        <w:rPr>
          <w:rFonts w:ascii="Tahoma" w:hAnsi="Tahoma" w:cs="Tahoma"/>
          <w:snapToGrid w:val="0"/>
        </w:rPr>
        <w:t>a szembefröccsenés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is szükséges.</w:t>
      </w:r>
    </w:p>
    <w:p w:rsidR="00EF0EE7" w:rsidRPr="00CB1156" w:rsidRDefault="00EF0EE7" w:rsidP="00B12268">
      <w:pPr>
        <w:spacing w:before="40"/>
        <w:jc w:val="both"/>
        <w:rPr>
          <w:rFonts w:ascii="Tahoma" w:hAnsi="Tahoma" w:cs="Tahoma"/>
        </w:rPr>
      </w:pPr>
      <w:r w:rsidRPr="00CB1156">
        <w:rPr>
          <w:rFonts w:ascii="Tahoma" w:hAnsi="Tahoma" w:cs="Tahoma"/>
          <w:b/>
          <w:bCs/>
        </w:rPr>
        <w:t xml:space="preserve">6.2. Környezetvédelmi óvintézkedések: </w:t>
      </w:r>
      <w:r w:rsidRPr="00CB1156">
        <w:rPr>
          <w:rFonts w:ascii="Tahoma" w:hAnsi="Tahoma" w:cs="Tahoma"/>
        </w:rPr>
        <w:t xml:space="preserve">a kiömlött anyag közcsatornába, élő vizekbe, talajba </w:t>
      </w:r>
      <w:r>
        <w:rPr>
          <w:rFonts w:ascii="Tahoma" w:hAnsi="Tahoma" w:cs="Tahoma"/>
        </w:rPr>
        <w:t>ne jusson</w:t>
      </w:r>
      <w:r w:rsidRPr="00CB1156">
        <w:rPr>
          <w:rFonts w:ascii="Tahoma" w:hAnsi="Tahoma" w:cs="Tahoma"/>
        </w:rPr>
        <w:t>! A hulladékkezelés, a megsemmisítés a helyi előírásoknak megfelelően történjen.</w:t>
      </w:r>
    </w:p>
    <w:p w:rsidR="00EF0EE7" w:rsidRDefault="00EF0EE7" w:rsidP="009C0503">
      <w:pPr>
        <w:keepNext/>
        <w:spacing w:before="40"/>
        <w:jc w:val="both"/>
        <w:rPr>
          <w:rFonts w:ascii="Tahoma" w:hAnsi="Tahoma" w:cs="Tahoma"/>
          <w:b/>
          <w:bCs/>
          <w:snapToGrid w:val="0"/>
        </w:rPr>
      </w:pPr>
      <w:r>
        <w:rPr>
          <w:rFonts w:ascii="Tahoma" w:hAnsi="Tahoma" w:cs="Tahoma"/>
          <w:b/>
          <w:bCs/>
          <w:snapToGrid w:val="0"/>
        </w:rPr>
        <w:t>6.3. A területi elhatárolás és a szennyezés mentesítés módszerei és anyagai</w:t>
      </w:r>
    </w:p>
    <w:p w:rsidR="00EF0EE7" w:rsidRDefault="00EF0EE7" w:rsidP="009C050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EF0EE7" w:rsidRPr="0014339B" w:rsidRDefault="00EF0EE7" w:rsidP="009C0503">
      <w:pPr>
        <w:spacing w:before="60"/>
        <w:jc w:val="both"/>
        <w:rPr>
          <w:rFonts w:ascii="Tahoma" w:hAnsi="Tahoma" w:cs="Tahoma"/>
          <w:snapToGrid w:val="0"/>
        </w:rPr>
      </w:pPr>
      <w:r w:rsidRPr="0014339B">
        <w:rPr>
          <w:rFonts w:ascii="Tahoma" w:hAnsi="Tahoma" w:cs="Tahoma"/>
          <w:b/>
          <w:bCs/>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EF0EE7" w:rsidRDefault="00EF0EE7" w:rsidP="00B5250F">
      <w:pPr>
        <w:widowControl w:val="0"/>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EF0EE7" w:rsidRPr="000E1DD2" w:rsidRDefault="00EF0EE7" w:rsidP="005D6C4F">
      <w:pPr>
        <w:pStyle w:val="BodyTextIndent"/>
        <w:keepNext/>
        <w:ind w:left="0"/>
      </w:pPr>
      <w:r w:rsidRPr="0014339B">
        <w:rPr>
          <w:b/>
          <w:bCs/>
        </w:rPr>
        <w:t>7.1. A biztonságos kezelésre irányuló óvintézkedések</w:t>
      </w:r>
      <w:r>
        <w:rPr>
          <w:b/>
          <w:bCs/>
        </w:rPr>
        <w:t xml:space="preserve">: </w:t>
      </w:r>
      <w:r>
        <w:t>k</w:t>
      </w:r>
      <w:r w:rsidRPr="0014339B">
        <w:t>övessük a címkén található használati utasítást</w:t>
      </w:r>
      <w:r>
        <w:t>! Ne keverjük más készítményekkel! Kerüljük aktív klórtartalmú oldatokkal történő érintkezését! Kerüljük el a termékkel történő expozíciót!</w:t>
      </w:r>
    </w:p>
    <w:p w:rsidR="00EF0EE7" w:rsidRPr="00293D58" w:rsidRDefault="00EF0EE7" w:rsidP="005D6C4F">
      <w:pPr>
        <w:pStyle w:val="BodyTextIndent"/>
        <w:ind w:left="0"/>
      </w:pPr>
      <w:r w:rsidRPr="008D5244">
        <w:rPr>
          <w:b/>
          <w:bCs/>
        </w:rPr>
        <w:t>Tűz- és robbanásvédelem:</w:t>
      </w:r>
      <w:r w:rsidRPr="008D5244">
        <w:t xml:space="preserve"> speciális intézkedés nem szükséges.</w:t>
      </w:r>
    </w:p>
    <w:p w:rsidR="00EF0EE7" w:rsidRPr="0014339B" w:rsidRDefault="00EF0EE7" w:rsidP="005D6C4F">
      <w:pPr>
        <w:pStyle w:val="BodyTextIndent"/>
        <w:ind w:left="0"/>
        <w:rPr>
          <w:b/>
          <w:bCs/>
        </w:rPr>
      </w:pPr>
      <w:r w:rsidRPr="0014339B">
        <w:rPr>
          <w:b/>
          <w:bCs/>
        </w:rPr>
        <w:t>7.2. A biztonságos tárolás feltételei, az esetleges összeférhetetlenséggel együtt</w:t>
      </w:r>
    </w:p>
    <w:p w:rsidR="00EF0EE7" w:rsidRDefault="00EF0EE7" w:rsidP="005D6C4F">
      <w:pPr>
        <w:jc w:val="both"/>
        <w:rPr>
          <w:rFonts w:ascii="Tahoma" w:hAnsi="Tahoma" w:cs="Tahoma"/>
        </w:rPr>
      </w:pPr>
      <w:r>
        <w:rPr>
          <w:rFonts w:ascii="Tahoma" w:hAnsi="Tahoma" w:cs="Tahoma"/>
        </w:rPr>
        <w:t>Lúgoktól, hipo-oldatoktól távol tartandó!</w:t>
      </w:r>
    </w:p>
    <w:p w:rsidR="00EF0EE7" w:rsidRDefault="00EF0EE7" w:rsidP="005D6C4F">
      <w:pPr>
        <w:jc w:val="both"/>
        <w:rPr>
          <w:rFonts w:ascii="Tahoma" w:hAnsi="Tahoma" w:cs="Tahoma"/>
        </w:rPr>
      </w:pPr>
      <w:r w:rsidRPr="000E1DD2">
        <w:rPr>
          <w:rFonts w:ascii="Tahoma" w:hAnsi="Tahoma" w:cs="Tahoma"/>
        </w:rPr>
        <w:t>Gyermekek kezébe nem kerülhet</w:t>
      </w:r>
      <w:r>
        <w:rPr>
          <w:rFonts w:ascii="Tahoma" w:hAnsi="Tahoma" w:cs="Tahoma"/>
        </w:rPr>
        <w:t>!</w:t>
      </w:r>
    </w:p>
    <w:p w:rsidR="00EF0EE7" w:rsidRPr="000E1DD2" w:rsidRDefault="00EF0EE7" w:rsidP="005D6C4F">
      <w:pPr>
        <w:jc w:val="both"/>
        <w:rPr>
          <w:rFonts w:ascii="Tahoma" w:hAnsi="Tahoma" w:cs="Tahoma"/>
        </w:rPr>
      </w:pPr>
      <w:r>
        <w:rPr>
          <w:rFonts w:ascii="Tahoma" w:hAnsi="Tahoma" w:cs="Tahoma"/>
        </w:rPr>
        <w:t>Ajánlott tárolási hőmérséklet: +5°C felett.</w:t>
      </w:r>
    </w:p>
    <w:p w:rsidR="00EF0EE7" w:rsidRDefault="00EF0EE7" w:rsidP="005D6C4F">
      <w:pPr>
        <w:spacing w:before="60"/>
        <w:jc w:val="both"/>
        <w:rPr>
          <w:rFonts w:ascii="Tahoma" w:hAnsi="Tahoma" w:cs="Tahoma"/>
        </w:rPr>
      </w:pPr>
      <w:r w:rsidRPr="0014339B">
        <w:rPr>
          <w:rFonts w:ascii="Tahoma" w:hAnsi="Tahoma" w:cs="Tahoma"/>
          <w:b/>
          <w:bCs/>
        </w:rPr>
        <w:t>7.3. Meghatározott végfelhasználás</w:t>
      </w:r>
      <w:r>
        <w:rPr>
          <w:rFonts w:ascii="Tahoma" w:hAnsi="Tahoma" w:cs="Tahoma"/>
          <w:b/>
          <w:bCs/>
        </w:rPr>
        <w:t>:</w:t>
      </w:r>
      <w:r>
        <w:rPr>
          <w:rFonts w:ascii="Tahoma" w:hAnsi="Tahoma" w:cs="Tahoma"/>
          <w:snapToGrid w:val="0"/>
        </w:rPr>
        <w:t xml:space="preserve"> savas tisztítószer</w:t>
      </w:r>
    </w:p>
    <w:p w:rsidR="00EF0EE7" w:rsidRPr="0014339B" w:rsidRDefault="00EF0EE7" w:rsidP="00A2200F">
      <w:pPr>
        <w:jc w:val="both"/>
        <w:rPr>
          <w:rFonts w:ascii="Tahoma" w:hAnsi="Tahoma" w:cs="Tahoma"/>
        </w:rPr>
      </w:pPr>
      <w:r w:rsidRPr="0014339B">
        <w:rPr>
          <w:rFonts w:ascii="Tahoma" w:hAnsi="Tahoma" w:cs="Tahoma"/>
        </w:rPr>
        <w:t>A felhasználók mindig olvassák el a használati útmutatót, és tartsák be a biztonságos kezelésre és felhasználásra vonatkozó utasításokat.</w:t>
      </w:r>
    </w:p>
    <w:p w:rsidR="00EF0EE7" w:rsidRDefault="00EF0EE7" w:rsidP="005D6C4F">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EF0EE7" w:rsidRDefault="00EF0EE7" w:rsidP="00845210">
      <w:pPr>
        <w:pStyle w:val="BodyTextIndent"/>
        <w:ind w:left="0"/>
        <w:rPr>
          <w:b/>
          <w:bCs/>
        </w:rPr>
      </w:pPr>
      <w:r w:rsidRPr="00755B18">
        <w:rPr>
          <w:b/>
          <w:bCs/>
        </w:rPr>
        <w:t>8.1. Ellenőrzési paraméterek</w:t>
      </w:r>
    </w:p>
    <w:p w:rsidR="00EF0EE7" w:rsidRDefault="00EF0EE7" w:rsidP="00A2200F">
      <w:pPr>
        <w:pStyle w:val="BodyTextIndent"/>
        <w:spacing w:before="0"/>
        <w:ind w:left="0"/>
        <w:rPr>
          <w:sz w:val="18"/>
          <w:szCs w:val="18"/>
        </w:rPr>
      </w:pPr>
      <w:r w:rsidRPr="00755B18">
        <w:rPr>
          <w:b/>
          <w:bCs/>
        </w:rPr>
        <w:t>Foglalkozási expozíciós határérték</w:t>
      </w:r>
      <w:r>
        <w:t>/</w:t>
      </w:r>
      <w:r w:rsidRPr="008C1891">
        <w:rPr>
          <w:b/>
          <w:bCs/>
        </w:rPr>
        <w:t>levegőben megengedett koncentráció:</w:t>
      </w:r>
      <w:r>
        <w:t xml:space="preserve"> nem tartalmaz olyan összetevőt melyre vonatkozólag határérték megállapítás történt volna a munkahelyi levegőben.</w:t>
      </w:r>
    </w:p>
    <w:p w:rsidR="00EF0EE7" w:rsidRPr="007E7BF3" w:rsidRDefault="00EF0EE7" w:rsidP="00EA67AC">
      <w:pPr>
        <w:pStyle w:val="BodyTextIndent"/>
        <w:ind w:left="0"/>
        <w:rPr>
          <w:b/>
          <w:bCs/>
        </w:rPr>
      </w:pPr>
      <w:r w:rsidRPr="007E7BF3">
        <w:rPr>
          <w:b/>
          <w:bCs/>
        </w:rPr>
        <w:t>Szulfaminsav</w:t>
      </w:r>
      <w:r>
        <w:rPr>
          <w:b/>
          <w:bCs/>
        </w:rPr>
        <w:t>ra vonatkozó DNEL</w:t>
      </w:r>
      <w:r>
        <w:rPr>
          <w:rStyle w:val="FootnoteReference"/>
          <w:color w:val="000000"/>
        </w:rPr>
        <w:footnoteReference w:id="4"/>
      </w:r>
      <w:r>
        <w:rPr>
          <w:b/>
          <w:bCs/>
        </w:rPr>
        <w:t xml:space="preserve"> értékek</w:t>
      </w:r>
    </w:p>
    <w:p w:rsidR="00EF0EE7" w:rsidRDefault="00EF0EE7" w:rsidP="00EA67AC">
      <w:pPr>
        <w:autoSpaceDE w:val="0"/>
        <w:autoSpaceDN w:val="0"/>
        <w:adjustRightInd w:val="0"/>
        <w:rPr>
          <w:rFonts w:ascii="Tahoma" w:hAnsi="Tahoma" w:cs="Tahoma"/>
          <w:color w:val="000000"/>
        </w:rPr>
      </w:pPr>
      <w:r w:rsidRPr="00AD2F48">
        <w:rPr>
          <w:rFonts w:ascii="Tahoma" w:hAnsi="Tahoma" w:cs="Tahoma"/>
          <w:color w:val="000000"/>
        </w:rPr>
        <w:t xml:space="preserve">DNEL: </w:t>
      </w:r>
      <w:r>
        <w:rPr>
          <w:rFonts w:ascii="Tahoma" w:hAnsi="Tahoma" w:cs="Tahoma"/>
          <w:color w:val="000000"/>
        </w:rPr>
        <w:t>70,5</w:t>
      </w:r>
      <w:r w:rsidRPr="00AD2F48">
        <w:rPr>
          <w:rFonts w:ascii="Tahoma" w:hAnsi="Tahoma" w:cs="Tahoma"/>
          <w:color w:val="000000"/>
        </w:rPr>
        <w:t xml:space="preserve"> mg/</w:t>
      </w:r>
      <w:r>
        <w:rPr>
          <w:rFonts w:ascii="Tahoma" w:hAnsi="Tahoma" w:cs="Tahoma"/>
          <w:color w:val="000000"/>
        </w:rPr>
        <w:t>m</w:t>
      </w:r>
      <w:r w:rsidRPr="00FD3178">
        <w:rPr>
          <w:rFonts w:ascii="Tahoma" w:hAnsi="Tahoma" w:cs="Tahoma"/>
          <w:color w:val="000000"/>
          <w:vertAlign w:val="superscript"/>
        </w:rPr>
        <w:t>3</w:t>
      </w:r>
    </w:p>
    <w:p w:rsidR="00EF0EE7" w:rsidRPr="008A684B" w:rsidRDefault="00EF0EE7" w:rsidP="00EA67AC">
      <w:pPr>
        <w:autoSpaceDE w:val="0"/>
        <w:autoSpaceDN w:val="0"/>
        <w:adjustRightInd w:val="0"/>
        <w:rPr>
          <w:rFonts w:ascii="Tahoma" w:hAnsi="Tahoma" w:cs="Tahoma"/>
          <w:color w:val="000000"/>
          <w:sz w:val="18"/>
          <w:szCs w:val="18"/>
        </w:rPr>
      </w:pPr>
      <w:r w:rsidRPr="008A684B">
        <w:rPr>
          <w:rFonts w:ascii="Tahoma" w:hAnsi="Tahoma" w:cs="Tahoma"/>
          <w:color w:val="000000"/>
          <w:sz w:val="18"/>
          <w:szCs w:val="18"/>
        </w:rPr>
        <w:t>(szisztémás hatás, hosszantartó, inhalációs expozíció, foglalkozásszerű felhasználó)</w:t>
      </w:r>
    </w:p>
    <w:p w:rsidR="00EF0EE7" w:rsidRDefault="00EF0EE7" w:rsidP="00FD3178">
      <w:pPr>
        <w:autoSpaceDE w:val="0"/>
        <w:autoSpaceDN w:val="0"/>
        <w:adjustRightInd w:val="0"/>
        <w:spacing w:before="40"/>
        <w:rPr>
          <w:rFonts w:ascii="Tahoma" w:hAnsi="Tahoma" w:cs="Tahoma"/>
          <w:color w:val="000000"/>
          <w:position w:val="8"/>
          <w:sz w:val="13"/>
          <w:szCs w:val="13"/>
          <w:vertAlign w:val="superscript"/>
        </w:rPr>
      </w:pPr>
      <w:r w:rsidRPr="00AD2F48">
        <w:rPr>
          <w:rFonts w:ascii="Tahoma" w:hAnsi="Tahoma" w:cs="Tahoma"/>
          <w:color w:val="000000"/>
        </w:rPr>
        <w:t xml:space="preserve">DNEL: </w:t>
      </w:r>
      <w:r>
        <w:rPr>
          <w:rFonts w:ascii="Tahoma" w:hAnsi="Tahoma" w:cs="Tahoma"/>
          <w:color w:val="000000"/>
        </w:rPr>
        <w:t>10</w:t>
      </w:r>
      <w:r w:rsidRPr="00AD2F48">
        <w:rPr>
          <w:rFonts w:ascii="Tahoma" w:hAnsi="Tahoma" w:cs="Tahoma"/>
          <w:color w:val="000000"/>
        </w:rPr>
        <w:t xml:space="preserve"> mg/</w:t>
      </w:r>
      <w:r>
        <w:rPr>
          <w:rFonts w:ascii="Tahoma" w:hAnsi="Tahoma" w:cs="Tahoma"/>
          <w:color w:val="000000"/>
        </w:rPr>
        <w:t>ttkg/nap</w:t>
      </w:r>
    </w:p>
    <w:p w:rsidR="00EF0EE7" w:rsidRPr="008A684B" w:rsidRDefault="00EF0EE7" w:rsidP="00FD3178">
      <w:pPr>
        <w:autoSpaceDE w:val="0"/>
        <w:autoSpaceDN w:val="0"/>
        <w:adjustRightInd w:val="0"/>
        <w:rPr>
          <w:rFonts w:ascii="Tahoma" w:hAnsi="Tahoma" w:cs="Tahoma"/>
          <w:color w:val="000000"/>
          <w:sz w:val="18"/>
          <w:szCs w:val="18"/>
        </w:rPr>
      </w:pPr>
      <w:r w:rsidRPr="008A684B">
        <w:rPr>
          <w:rFonts w:ascii="Tahoma" w:hAnsi="Tahoma" w:cs="Tahoma"/>
          <w:color w:val="000000"/>
          <w:sz w:val="18"/>
          <w:szCs w:val="18"/>
        </w:rPr>
        <w:t>(szisztémás hatás, hosszantartó, dermális expozíció, foglalkozásszerű felhasználó)</w:t>
      </w:r>
    </w:p>
    <w:p w:rsidR="00EF0EE7" w:rsidRDefault="00EF0EE7" w:rsidP="00FD3178">
      <w:pPr>
        <w:autoSpaceDE w:val="0"/>
        <w:autoSpaceDN w:val="0"/>
        <w:adjustRightInd w:val="0"/>
        <w:spacing w:before="40"/>
        <w:rPr>
          <w:rFonts w:ascii="Tahoma" w:hAnsi="Tahoma" w:cs="Tahoma"/>
          <w:color w:val="000000"/>
        </w:rPr>
      </w:pPr>
      <w:r w:rsidRPr="00AD2F48">
        <w:rPr>
          <w:rFonts w:ascii="Tahoma" w:hAnsi="Tahoma" w:cs="Tahoma"/>
          <w:color w:val="000000"/>
        </w:rPr>
        <w:t xml:space="preserve">DNEL: </w:t>
      </w:r>
      <w:r>
        <w:rPr>
          <w:rFonts w:ascii="Tahoma" w:hAnsi="Tahoma" w:cs="Tahoma"/>
          <w:color w:val="000000"/>
        </w:rPr>
        <w:t>17,4</w:t>
      </w:r>
      <w:r w:rsidRPr="00AD2F48">
        <w:rPr>
          <w:rFonts w:ascii="Tahoma" w:hAnsi="Tahoma" w:cs="Tahoma"/>
          <w:color w:val="000000"/>
        </w:rPr>
        <w:t xml:space="preserve"> mg/</w:t>
      </w:r>
      <w:r>
        <w:rPr>
          <w:rFonts w:ascii="Tahoma" w:hAnsi="Tahoma" w:cs="Tahoma"/>
          <w:color w:val="000000"/>
        </w:rPr>
        <w:t>m</w:t>
      </w:r>
      <w:r w:rsidRPr="00FD3178">
        <w:rPr>
          <w:rFonts w:ascii="Tahoma" w:hAnsi="Tahoma" w:cs="Tahoma"/>
          <w:color w:val="000000"/>
          <w:vertAlign w:val="superscript"/>
        </w:rPr>
        <w:t>3</w:t>
      </w:r>
    </w:p>
    <w:p w:rsidR="00EF0EE7" w:rsidRPr="008A684B" w:rsidRDefault="00EF0EE7" w:rsidP="00FD3178">
      <w:pPr>
        <w:autoSpaceDE w:val="0"/>
        <w:autoSpaceDN w:val="0"/>
        <w:adjustRightInd w:val="0"/>
        <w:rPr>
          <w:rFonts w:ascii="Tahoma" w:hAnsi="Tahoma" w:cs="Tahoma"/>
          <w:color w:val="000000"/>
          <w:sz w:val="18"/>
          <w:szCs w:val="18"/>
        </w:rPr>
      </w:pPr>
      <w:r w:rsidRPr="008A684B">
        <w:rPr>
          <w:rFonts w:ascii="Tahoma" w:hAnsi="Tahoma" w:cs="Tahoma"/>
          <w:color w:val="000000"/>
          <w:sz w:val="18"/>
          <w:szCs w:val="18"/>
        </w:rPr>
        <w:t>(szisztémás hatás, hosszantartó, inhalációs  expozíció, foglalkozásszerű felhasználó)</w:t>
      </w:r>
    </w:p>
    <w:p w:rsidR="00EF0EE7" w:rsidRDefault="00EF0EE7" w:rsidP="00FD3178">
      <w:pPr>
        <w:autoSpaceDE w:val="0"/>
        <w:autoSpaceDN w:val="0"/>
        <w:adjustRightInd w:val="0"/>
        <w:spacing w:before="40"/>
        <w:rPr>
          <w:rFonts w:ascii="Tahoma" w:hAnsi="Tahoma" w:cs="Tahoma"/>
          <w:color w:val="000000"/>
          <w:position w:val="8"/>
          <w:sz w:val="13"/>
          <w:szCs w:val="13"/>
          <w:vertAlign w:val="superscript"/>
        </w:rPr>
      </w:pPr>
      <w:r w:rsidRPr="00AD2F48">
        <w:rPr>
          <w:rFonts w:ascii="Tahoma" w:hAnsi="Tahoma" w:cs="Tahoma"/>
          <w:color w:val="000000"/>
        </w:rPr>
        <w:t>DNEL:</w:t>
      </w:r>
      <w:r>
        <w:rPr>
          <w:rFonts w:ascii="Tahoma" w:hAnsi="Tahoma" w:cs="Tahoma"/>
          <w:color w:val="000000"/>
        </w:rPr>
        <w:t xml:space="preserve"> 5</w:t>
      </w:r>
      <w:r w:rsidRPr="00AD2F48">
        <w:rPr>
          <w:rFonts w:ascii="Tahoma" w:hAnsi="Tahoma" w:cs="Tahoma"/>
          <w:color w:val="000000"/>
        </w:rPr>
        <w:t xml:space="preserve"> mg/</w:t>
      </w:r>
      <w:r>
        <w:rPr>
          <w:rFonts w:ascii="Tahoma" w:hAnsi="Tahoma" w:cs="Tahoma"/>
          <w:color w:val="000000"/>
        </w:rPr>
        <w:t>ttkg/nap</w:t>
      </w:r>
    </w:p>
    <w:p w:rsidR="00EF0EE7" w:rsidRPr="008A684B" w:rsidRDefault="00EF0EE7" w:rsidP="00EA67AC">
      <w:pPr>
        <w:autoSpaceDE w:val="0"/>
        <w:autoSpaceDN w:val="0"/>
        <w:adjustRightInd w:val="0"/>
        <w:rPr>
          <w:rFonts w:ascii="Tahoma" w:hAnsi="Tahoma" w:cs="Tahoma"/>
          <w:color w:val="000000"/>
          <w:sz w:val="18"/>
          <w:szCs w:val="18"/>
        </w:rPr>
      </w:pPr>
      <w:r w:rsidRPr="008A684B">
        <w:rPr>
          <w:rFonts w:ascii="Tahoma" w:hAnsi="Tahoma" w:cs="Tahoma"/>
          <w:color w:val="000000"/>
          <w:sz w:val="18"/>
          <w:szCs w:val="18"/>
        </w:rPr>
        <w:t>(szisztémás hatás, hosszú távú, dermális expozíció, lakossági felhasználó)</w:t>
      </w:r>
    </w:p>
    <w:p w:rsidR="00EF0EE7" w:rsidRDefault="00EF0EE7" w:rsidP="00FD3178">
      <w:pPr>
        <w:autoSpaceDE w:val="0"/>
        <w:autoSpaceDN w:val="0"/>
        <w:adjustRightInd w:val="0"/>
        <w:spacing w:before="40"/>
        <w:rPr>
          <w:rFonts w:ascii="Tahoma" w:hAnsi="Tahoma" w:cs="Tahoma"/>
          <w:color w:val="000000"/>
        </w:rPr>
      </w:pPr>
      <w:r w:rsidRPr="00AD2F48">
        <w:rPr>
          <w:rFonts w:ascii="Tahoma" w:hAnsi="Tahoma" w:cs="Tahoma"/>
          <w:color w:val="000000"/>
        </w:rPr>
        <w:t>DNEL:</w:t>
      </w:r>
      <w:r>
        <w:rPr>
          <w:rFonts w:ascii="Tahoma" w:hAnsi="Tahoma" w:cs="Tahoma"/>
          <w:color w:val="000000"/>
        </w:rPr>
        <w:t xml:space="preserve"> 5</w:t>
      </w:r>
      <w:r w:rsidRPr="00AD2F48">
        <w:rPr>
          <w:rFonts w:ascii="Tahoma" w:hAnsi="Tahoma" w:cs="Tahoma"/>
          <w:color w:val="000000"/>
        </w:rPr>
        <w:t xml:space="preserve"> mg/</w:t>
      </w:r>
      <w:r>
        <w:rPr>
          <w:rFonts w:ascii="Tahoma" w:hAnsi="Tahoma" w:cs="Tahoma"/>
          <w:color w:val="000000"/>
        </w:rPr>
        <w:t>ttkg/nap</w:t>
      </w:r>
    </w:p>
    <w:p w:rsidR="00EF0EE7" w:rsidRPr="008A684B" w:rsidRDefault="00EF0EE7" w:rsidP="00EA67AC">
      <w:pPr>
        <w:autoSpaceDE w:val="0"/>
        <w:autoSpaceDN w:val="0"/>
        <w:adjustRightInd w:val="0"/>
        <w:rPr>
          <w:rFonts w:ascii="Tahoma" w:hAnsi="Tahoma" w:cs="Tahoma"/>
          <w:color w:val="000000"/>
          <w:sz w:val="18"/>
          <w:szCs w:val="18"/>
        </w:rPr>
      </w:pPr>
      <w:r w:rsidRPr="008A684B">
        <w:rPr>
          <w:rFonts w:ascii="Tahoma" w:hAnsi="Tahoma" w:cs="Tahoma"/>
          <w:color w:val="000000"/>
          <w:position w:val="8"/>
          <w:sz w:val="18"/>
          <w:szCs w:val="18"/>
          <w:vertAlign w:val="superscript"/>
        </w:rPr>
        <w:t xml:space="preserve"> </w:t>
      </w:r>
      <w:r w:rsidRPr="008A684B">
        <w:rPr>
          <w:rFonts w:ascii="Tahoma" w:hAnsi="Tahoma" w:cs="Tahoma"/>
          <w:color w:val="000000"/>
          <w:sz w:val="18"/>
          <w:szCs w:val="18"/>
        </w:rPr>
        <w:t>(szisztémás hatás, hosszú távú, orális expozíció, lakossági felhasználó)</w:t>
      </w:r>
    </w:p>
    <w:p w:rsidR="00EF0EE7" w:rsidRPr="00E13DFC" w:rsidRDefault="00EF0EE7" w:rsidP="008A684B">
      <w:pPr>
        <w:pStyle w:val="FootnoteText"/>
        <w:tabs>
          <w:tab w:val="left" w:pos="142"/>
          <w:tab w:val="left" w:pos="567"/>
        </w:tabs>
        <w:autoSpaceDE w:val="0"/>
        <w:autoSpaceDN w:val="0"/>
        <w:adjustRightInd w:val="0"/>
        <w:spacing w:before="120"/>
        <w:rPr>
          <w:rFonts w:ascii="Tahoma" w:hAnsi="Tahoma" w:cs="Tahoma"/>
        </w:rPr>
      </w:pPr>
      <w:r w:rsidRPr="00E13DFC">
        <w:rPr>
          <w:rFonts w:ascii="Tahoma" w:hAnsi="Tahoma" w:cs="Tahoma"/>
        </w:rPr>
        <w:t xml:space="preserve">Egyéb DNEL, </w:t>
      </w:r>
      <w:r>
        <w:rPr>
          <w:rFonts w:ascii="Tahoma" w:hAnsi="Tahoma" w:cs="Tahoma"/>
        </w:rPr>
        <w:t xml:space="preserve">illetve </w:t>
      </w:r>
      <w:r w:rsidRPr="00E13DFC">
        <w:rPr>
          <w:rFonts w:ascii="Tahoma" w:hAnsi="Tahoma" w:cs="Tahoma"/>
        </w:rPr>
        <w:t>PNEC</w:t>
      </w:r>
      <w:r>
        <w:rPr>
          <w:rStyle w:val="FootnoteReference"/>
        </w:rPr>
        <w:footnoteReference w:id="5"/>
      </w:r>
      <w:r>
        <w:rPr>
          <w:rFonts w:ascii="Tahoma" w:hAnsi="Tahoma" w:cs="Tahoma"/>
        </w:rPr>
        <w:t xml:space="preserve"> értékek</w:t>
      </w:r>
      <w:r w:rsidRPr="00E13DFC">
        <w:rPr>
          <w:rFonts w:ascii="Tahoma" w:hAnsi="Tahoma" w:cs="Tahoma"/>
        </w:rPr>
        <w:t xml:space="preserve"> nem állnak rendelkezésre.</w:t>
      </w:r>
    </w:p>
    <w:p w:rsidR="00EF0EE7" w:rsidRDefault="00EF0EE7" w:rsidP="00867F7E">
      <w:pPr>
        <w:pStyle w:val="BodyTextIndent"/>
        <w:spacing w:before="120"/>
        <w:ind w:left="0"/>
        <w:rPr>
          <w:b/>
          <w:bCs/>
        </w:rPr>
      </w:pPr>
      <w:r>
        <w:rPr>
          <w:b/>
          <w:bCs/>
        </w:rPr>
        <w:t>8.2. Az expozíció ellenőrzése</w:t>
      </w:r>
    </w:p>
    <w:p w:rsidR="00EF0EE7" w:rsidRPr="00C50EC1" w:rsidRDefault="00EF0EE7" w:rsidP="008A684B">
      <w:pPr>
        <w:pStyle w:val="BodyTextIndent"/>
        <w:spacing w:before="0"/>
        <w:ind w:left="0"/>
      </w:pPr>
      <w:r>
        <w:t xml:space="preserve">A termék használata során be kell tartani a vegyi anyagokkal folytatott tevékenységek általános biztonsági és higiénés előírásait. </w:t>
      </w:r>
      <w:r w:rsidRPr="00C50EC1">
        <w:t>Körültekintően végzett munkával meg kell előzni a termék bőrre-, szembejutását! Nyálkahártyára, nyílt sebre ne kerüljön!</w:t>
      </w:r>
    </w:p>
    <w:p w:rsidR="00EF0EE7" w:rsidRDefault="00EF0EE7" w:rsidP="00A2200F">
      <w:pPr>
        <w:pStyle w:val="BodyTextIndent"/>
        <w:spacing w:before="40"/>
        <w:ind w:left="0"/>
      </w:pPr>
      <w:r>
        <w:rPr>
          <w:b/>
          <w:bCs/>
        </w:rPr>
        <w:t xml:space="preserve">Műszaki intézkedés: </w:t>
      </w:r>
      <w:r>
        <w:t>nem szükséges.</w:t>
      </w:r>
    </w:p>
    <w:p w:rsidR="00EF0EE7" w:rsidRDefault="00EF0EE7" w:rsidP="00A2200F">
      <w:pPr>
        <w:pStyle w:val="BodyTextIndent"/>
        <w:spacing w:before="40"/>
        <w:ind w:left="0"/>
      </w:pPr>
      <w:r>
        <w:rPr>
          <w:b/>
          <w:bCs/>
        </w:rPr>
        <w:t xml:space="preserve">Higiéniai intézkedések: </w:t>
      </w:r>
      <w:r>
        <w:t>tartsuk távol élelmiszerektől, italoktól és takarmányoktól. Használata után kézmosás ajánlott.</w:t>
      </w:r>
    </w:p>
    <w:p w:rsidR="00EF0EE7" w:rsidRDefault="00EF0EE7" w:rsidP="002019A6">
      <w:pPr>
        <w:pStyle w:val="BodyTextIndent"/>
        <w:pageBreakBefore/>
        <w:spacing w:before="40"/>
        <w:ind w:left="0"/>
        <w:rPr>
          <w:b/>
          <w:bCs/>
        </w:rPr>
      </w:pPr>
      <w:r w:rsidRPr="00CA2702">
        <w:rPr>
          <w:b/>
          <w:bCs/>
        </w:rPr>
        <w:t>Személyi védőfelszerelések</w:t>
      </w:r>
      <w:r>
        <w:rPr>
          <w:b/>
          <w:bCs/>
        </w:rPr>
        <w:t>:</w:t>
      </w:r>
    </w:p>
    <w:p w:rsidR="00EF0EE7" w:rsidRDefault="00EF0EE7" w:rsidP="00B12268">
      <w:pPr>
        <w:pStyle w:val="BodyTextIndent"/>
        <w:numPr>
          <w:ilvl w:val="0"/>
          <w:numId w:val="32"/>
        </w:numPr>
        <w:tabs>
          <w:tab w:val="clear" w:pos="1701"/>
        </w:tabs>
        <w:spacing w:before="0"/>
        <w:ind w:left="709" w:hanging="283"/>
      </w:pPr>
      <w:r w:rsidRPr="00874D02">
        <w:rPr>
          <w:b/>
          <w:bCs/>
        </w:rPr>
        <w:t>Légutak védelme:</w:t>
      </w:r>
      <w:r w:rsidRPr="00874D02">
        <w:t xml:space="preserve"> nem szükséges</w:t>
      </w:r>
      <w:r>
        <w:t>.</w:t>
      </w:r>
    </w:p>
    <w:p w:rsidR="00EF0EE7" w:rsidRPr="00CA2702" w:rsidRDefault="00EF0EE7" w:rsidP="00B12268">
      <w:pPr>
        <w:pStyle w:val="BodyTextIndent"/>
        <w:numPr>
          <w:ilvl w:val="0"/>
          <w:numId w:val="32"/>
        </w:numPr>
        <w:tabs>
          <w:tab w:val="clear" w:pos="1701"/>
        </w:tabs>
        <w:spacing w:before="40"/>
        <w:ind w:hanging="283"/>
        <w:rPr>
          <w:b/>
          <w:bCs/>
        </w:rPr>
      </w:pPr>
      <w:r w:rsidRPr="00CA2702">
        <w:rPr>
          <w:b/>
          <w:bCs/>
        </w:rPr>
        <w:t>Kézvédelem:</w:t>
      </w:r>
      <w:r w:rsidRPr="00CA2702">
        <w:t xml:space="preserve"> érzékeny bőrű személyeknek</w:t>
      </w:r>
      <w:r>
        <w:t xml:space="preserve"> védőkesztyű használata ajánlott.</w:t>
      </w:r>
    </w:p>
    <w:p w:rsidR="00EF0EE7" w:rsidRPr="00B12268" w:rsidRDefault="00EF0EE7" w:rsidP="00B12268">
      <w:pPr>
        <w:pStyle w:val="BodyTextIndent"/>
        <w:numPr>
          <w:ilvl w:val="0"/>
          <w:numId w:val="32"/>
        </w:numPr>
        <w:tabs>
          <w:tab w:val="left" w:pos="709"/>
        </w:tabs>
        <w:spacing w:before="40"/>
        <w:ind w:left="709" w:hanging="283"/>
        <w:rPr>
          <w:b/>
          <w:bCs/>
        </w:rPr>
      </w:pPr>
      <w:r w:rsidRPr="00B12268">
        <w:rPr>
          <w:b/>
          <w:bCs/>
        </w:rPr>
        <w:t>Szemvédelem:</w:t>
      </w:r>
      <w:r w:rsidRPr="00CA2702">
        <w:t xml:space="preserve"> nem szükséges. </w:t>
      </w:r>
      <w:r>
        <w:t>N</w:t>
      </w:r>
      <w:r w:rsidRPr="00B12268">
        <w:t>agy mennyiségek kezelése esetén, mentesítéskor védőszemüveg/védőálarc használata ajánlott.</w:t>
      </w:r>
    </w:p>
    <w:p w:rsidR="00EF0EE7" w:rsidRDefault="00EF0EE7"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9. szakasz: Fizikai és kémiai tulajdonságok</w:t>
      </w:r>
    </w:p>
    <w:p w:rsidR="00EF0EE7" w:rsidRDefault="00EF0EE7" w:rsidP="005D6C4F">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EF0EE7" w:rsidRDefault="00EF0EE7" w:rsidP="005D6C4F">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EF0EE7" w:rsidRDefault="00EF0EE7" w:rsidP="005D6C4F">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áttetsző folyadék</w:t>
      </w:r>
    </w:p>
    <w:p w:rsidR="00EF0EE7" w:rsidRDefault="00EF0EE7" w:rsidP="005D6C4F">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kék</w:t>
      </w:r>
    </w:p>
    <w:p w:rsidR="00EF0EE7" w:rsidRDefault="00EF0EE7" w:rsidP="005D6C4F">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a termékre jellemző, illatosított</w:t>
      </w:r>
    </w:p>
    <w:p w:rsidR="00EF0EE7" w:rsidRPr="00DE2E56" w:rsidRDefault="00EF0EE7" w:rsidP="005D6C4F">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EF0EE7" w:rsidRDefault="00EF0EE7" w:rsidP="005D6C4F">
      <w:pPr>
        <w:tabs>
          <w:tab w:val="left" w:pos="2552"/>
        </w:tabs>
        <w:ind w:left="284" w:firstLine="142"/>
        <w:jc w:val="both"/>
        <w:rPr>
          <w:rFonts w:ascii="Tahoma" w:hAnsi="Tahoma" w:cs="Tahoma"/>
          <w:snapToGrid w:val="0"/>
        </w:rPr>
      </w:pPr>
      <w:r w:rsidRPr="00675D5C">
        <w:rPr>
          <w:rFonts w:ascii="Tahoma" w:hAnsi="Tahoma" w:cs="Tahoma"/>
          <w:snapToGrid w:val="0"/>
        </w:rPr>
        <w:t>pH-érték</w:t>
      </w:r>
      <w:r>
        <w:rPr>
          <w:rFonts w:ascii="Tahoma" w:hAnsi="Tahoma" w:cs="Tahoma"/>
          <w:snapToGrid w:val="0"/>
        </w:rPr>
        <w:t xml:space="preserve"> 20°C-on</w:t>
      </w:r>
      <w:r w:rsidRPr="00675D5C">
        <w:rPr>
          <w:rFonts w:ascii="Tahoma" w:hAnsi="Tahoma" w:cs="Tahoma"/>
          <w:snapToGrid w:val="0"/>
        </w:rPr>
        <w:t>:</w:t>
      </w:r>
      <w:r w:rsidRPr="00675D5C">
        <w:rPr>
          <w:rFonts w:ascii="Tahoma" w:hAnsi="Tahoma" w:cs="Tahoma"/>
          <w:snapToGrid w:val="0"/>
        </w:rPr>
        <w:tab/>
      </w:r>
      <w:r>
        <w:rPr>
          <w:rFonts w:ascii="Tahoma" w:hAnsi="Tahoma" w:cs="Tahoma"/>
          <w:snapToGrid w:val="0"/>
        </w:rPr>
        <w:t xml:space="preserve">1 – 2 </w:t>
      </w:r>
    </w:p>
    <w:p w:rsidR="00EF0EE7" w:rsidRDefault="00EF0EE7" w:rsidP="005D6C4F">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EF0EE7" w:rsidRDefault="00EF0EE7" w:rsidP="005D6C4F">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jellemző, vizes oldat, kb. &gt;100°C (becsült érték)</w:t>
      </w:r>
    </w:p>
    <w:p w:rsidR="00EF0EE7" w:rsidRDefault="00EF0EE7" w:rsidP="005D6C4F">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EF0EE7" w:rsidRDefault="00EF0EE7" w:rsidP="005D6C4F">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EF0EE7" w:rsidRDefault="00EF0EE7" w:rsidP="005D6C4F">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EF0EE7" w:rsidRDefault="00EF0EE7" w:rsidP="005D6C4F">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EF0EE7" w:rsidRDefault="00EF0EE7" w:rsidP="005D6C4F">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EF0EE7" w:rsidRDefault="00EF0EE7" w:rsidP="005D6C4F">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EF0EE7" w:rsidRDefault="00EF0EE7" w:rsidP="005D6C4F">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EF0EE7" w:rsidRDefault="00EF0EE7" w:rsidP="005D6C4F">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nincs adat</w:t>
      </w:r>
    </w:p>
    <w:p w:rsidR="00EF0EE7" w:rsidRPr="00F31477" w:rsidRDefault="00EF0EE7" w:rsidP="00845210">
      <w:pPr>
        <w:tabs>
          <w:tab w:val="left" w:pos="2552"/>
        </w:tabs>
        <w:ind w:firstLine="426"/>
        <w:jc w:val="both"/>
        <w:rPr>
          <w:rFonts w:ascii="Tahoma" w:hAnsi="Tahoma" w:cs="Tahoma"/>
          <w:snapToGrid w:val="0"/>
        </w:rPr>
      </w:pPr>
      <w:r w:rsidRPr="00F31477">
        <w:rPr>
          <w:rFonts w:ascii="Tahoma" w:hAnsi="Tahoma" w:cs="Tahoma"/>
          <w:snapToGrid w:val="0"/>
        </w:rPr>
        <w:t>Vízoldékonyság:</w:t>
      </w:r>
      <w:r w:rsidRPr="00F31477">
        <w:rPr>
          <w:rFonts w:ascii="Tahoma" w:hAnsi="Tahoma" w:cs="Tahoma"/>
          <w:snapToGrid w:val="0"/>
        </w:rPr>
        <w:tab/>
      </w:r>
      <w:r>
        <w:rPr>
          <w:rFonts w:ascii="Tahoma" w:hAnsi="Tahoma" w:cs="Tahoma"/>
          <w:snapToGrid w:val="0"/>
        </w:rPr>
        <w:t>vízzel korlátlanul elegyedik</w:t>
      </w:r>
    </w:p>
    <w:p w:rsidR="00EF0EE7" w:rsidRDefault="00EF0EE7" w:rsidP="005D6C4F">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EF0EE7" w:rsidRDefault="00EF0EE7" w:rsidP="005D6C4F">
      <w:pPr>
        <w:tabs>
          <w:tab w:val="left" w:pos="2552"/>
        </w:tabs>
        <w:ind w:left="284" w:hanging="284"/>
        <w:jc w:val="both"/>
        <w:rPr>
          <w:rFonts w:ascii="Tahoma" w:hAnsi="Tahoma" w:cs="Tahoma"/>
          <w:snapToGrid w:val="0"/>
        </w:rPr>
      </w:pPr>
      <w:r w:rsidRPr="009C1D9A">
        <w:rPr>
          <w:rFonts w:ascii="Tahoma" w:hAnsi="Tahoma" w:cs="Tahoma"/>
          <w:b/>
          <w:bCs/>
          <w:snapToGrid w:val="0"/>
        </w:rPr>
        <w:t>9.2. Egyéb információ:</w:t>
      </w:r>
      <w:r>
        <w:rPr>
          <w:rFonts w:ascii="Tahoma" w:hAnsi="Tahoma" w:cs="Tahoma"/>
          <w:snapToGrid w:val="0"/>
        </w:rPr>
        <w:tab/>
        <w:t>nincs adat, nem áll rendelkezésre vagy nem releváns</w:t>
      </w:r>
    </w:p>
    <w:p w:rsidR="00EF0EE7" w:rsidRDefault="00EF0EE7" w:rsidP="00845210">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EF0EE7" w:rsidRPr="00781269" w:rsidRDefault="00EF0EE7" w:rsidP="00B5250F">
      <w:pPr>
        <w:jc w:val="both"/>
        <w:rPr>
          <w:rFonts w:ascii="Tahoma" w:hAnsi="Tahoma" w:cs="Tahoma"/>
          <w:snapToGrid w:val="0"/>
        </w:rPr>
      </w:pPr>
      <w:r w:rsidRPr="00781269">
        <w:rPr>
          <w:rFonts w:ascii="Tahoma" w:hAnsi="Tahoma" w:cs="Tahoma"/>
          <w:b/>
          <w:bCs/>
          <w:snapToGrid w:val="0"/>
        </w:rPr>
        <w:t>10.1. Reakciókészség:</w:t>
      </w:r>
      <w:r w:rsidRPr="00781269">
        <w:rPr>
          <w:rFonts w:ascii="Tahoma" w:hAnsi="Tahoma" w:cs="Tahoma"/>
          <w:snapToGrid w:val="0"/>
        </w:rPr>
        <w:t xml:space="preserve"> </w:t>
      </w:r>
      <w:r>
        <w:rPr>
          <w:rFonts w:ascii="Tahoma" w:hAnsi="Tahoma" w:cs="Tahoma"/>
          <w:snapToGrid w:val="0"/>
        </w:rPr>
        <w:t xml:space="preserve">erősen savas oldat. Lúggal reagál, aktív klórtartalmú oldatokkal (hipo-oldatok) klórgázt fejleszt. </w:t>
      </w:r>
    </w:p>
    <w:p w:rsidR="00EF0EE7" w:rsidRPr="00781269" w:rsidRDefault="00EF0EE7" w:rsidP="00B5250F">
      <w:pPr>
        <w:spacing w:before="40"/>
        <w:jc w:val="both"/>
        <w:rPr>
          <w:rFonts w:ascii="Tahoma" w:hAnsi="Tahoma" w:cs="Tahoma"/>
          <w:snapToGrid w:val="0"/>
        </w:rPr>
      </w:pPr>
      <w:r w:rsidRPr="00781269">
        <w:rPr>
          <w:rFonts w:ascii="Tahoma" w:hAnsi="Tahoma" w:cs="Tahoma"/>
          <w:b/>
          <w:bCs/>
          <w:snapToGrid w:val="0"/>
        </w:rPr>
        <w:t xml:space="preserve">10.2. Kémiai stabilitás: </w:t>
      </w:r>
      <w:r w:rsidRPr="00781269">
        <w:rPr>
          <w:rFonts w:ascii="Tahoma" w:hAnsi="Tahoma" w:cs="Tahoma"/>
          <w:snapToGrid w:val="0"/>
        </w:rPr>
        <w:t>közönséges körülmények (szokásos hőmérséklet-, és nyomásviszonyok, valamint a 7. szakasz alatt előírt tárolási körülmények) között a termék stabil.</w:t>
      </w:r>
    </w:p>
    <w:p w:rsidR="00EF0EE7" w:rsidRPr="00781269" w:rsidRDefault="00EF0EE7" w:rsidP="00B5250F">
      <w:pPr>
        <w:spacing w:before="40"/>
        <w:jc w:val="both"/>
        <w:rPr>
          <w:rFonts w:ascii="Tahoma" w:hAnsi="Tahoma" w:cs="Tahoma"/>
          <w:snapToGrid w:val="0"/>
        </w:rPr>
      </w:pPr>
      <w:r w:rsidRPr="00781269">
        <w:rPr>
          <w:rFonts w:ascii="Tahoma" w:hAnsi="Tahoma" w:cs="Tahoma"/>
          <w:b/>
          <w:bCs/>
          <w:snapToGrid w:val="0"/>
        </w:rPr>
        <w:t>10.3. A veszélyes reakciók lehetősége:</w:t>
      </w:r>
      <w:r w:rsidRPr="00182C62">
        <w:rPr>
          <w:rFonts w:ascii="Tahoma" w:hAnsi="Tahoma" w:cs="Tahoma"/>
          <w:snapToGrid w:val="0"/>
        </w:rPr>
        <w:t xml:space="preserve"> reakció aktív klórtartalmú készítményekkel.</w:t>
      </w:r>
    </w:p>
    <w:p w:rsidR="00EF0EE7" w:rsidRPr="00781269" w:rsidRDefault="00EF0EE7" w:rsidP="00B5250F">
      <w:pPr>
        <w:autoSpaceDE w:val="0"/>
        <w:spacing w:before="60"/>
        <w:jc w:val="both"/>
        <w:rPr>
          <w:rFonts w:ascii="Tahoma" w:hAnsi="Tahoma" w:cs="Tahoma"/>
        </w:rPr>
      </w:pPr>
      <w:r w:rsidRPr="00781269">
        <w:rPr>
          <w:rFonts w:ascii="Tahoma" w:hAnsi="Tahoma" w:cs="Tahoma"/>
          <w:b/>
          <w:bCs/>
          <w:snapToGrid w:val="0"/>
        </w:rPr>
        <w:t xml:space="preserve">10.4. Kerülendő körülmények: </w:t>
      </w:r>
      <w:r>
        <w:rPr>
          <w:rFonts w:ascii="Tahoma" w:hAnsi="Tahoma" w:cs="Tahoma"/>
          <w:snapToGrid w:val="0"/>
        </w:rPr>
        <w:t>hőhatás, fagy; érintkezés lúgokkal, hipoklorit-oldatokkal.</w:t>
      </w:r>
    </w:p>
    <w:p w:rsidR="00EF0EE7" w:rsidRPr="00781269" w:rsidRDefault="00EF0EE7" w:rsidP="00B5250F">
      <w:pPr>
        <w:spacing w:before="60"/>
        <w:jc w:val="both"/>
        <w:rPr>
          <w:rFonts w:ascii="Tahoma" w:hAnsi="Tahoma" w:cs="Tahoma"/>
          <w:snapToGrid w:val="0"/>
        </w:rPr>
      </w:pPr>
      <w:r w:rsidRPr="00781269">
        <w:rPr>
          <w:rFonts w:ascii="Tahoma" w:hAnsi="Tahoma" w:cs="Tahoma"/>
          <w:b/>
          <w:bCs/>
          <w:snapToGrid w:val="0"/>
        </w:rPr>
        <w:t>10.5. Nem összeférhető anyagok:</w:t>
      </w:r>
      <w:r w:rsidRPr="00781269">
        <w:rPr>
          <w:rFonts w:ascii="Tahoma" w:hAnsi="Tahoma" w:cs="Tahoma"/>
          <w:snapToGrid w:val="0"/>
        </w:rPr>
        <w:t xml:space="preserve"> </w:t>
      </w:r>
      <w:r>
        <w:rPr>
          <w:rFonts w:ascii="Tahoma" w:hAnsi="Tahoma" w:cs="Tahoma"/>
          <w:snapToGrid w:val="0"/>
        </w:rPr>
        <w:t xml:space="preserve">aktív klórtartalmú készítmények, </w:t>
      </w:r>
      <w:r>
        <w:rPr>
          <w:rFonts w:ascii="Tahoma" w:hAnsi="Tahoma" w:cs="Tahoma"/>
        </w:rPr>
        <w:t xml:space="preserve">lúgok, </w:t>
      </w:r>
      <w:r w:rsidRPr="00781269">
        <w:rPr>
          <w:rFonts w:ascii="Tahoma" w:hAnsi="Tahoma" w:cs="Tahoma"/>
        </w:rPr>
        <w:t>erős oxidáló</w:t>
      </w:r>
      <w:r>
        <w:rPr>
          <w:rFonts w:ascii="Tahoma" w:hAnsi="Tahoma" w:cs="Tahoma"/>
        </w:rPr>
        <w:t xml:space="preserve"> </w:t>
      </w:r>
      <w:r w:rsidRPr="00781269">
        <w:rPr>
          <w:rFonts w:ascii="Tahoma" w:hAnsi="Tahoma" w:cs="Tahoma"/>
        </w:rPr>
        <w:t>szerek</w:t>
      </w:r>
      <w:r>
        <w:rPr>
          <w:rFonts w:ascii="Tahoma" w:hAnsi="Tahoma" w:cs="Tahoma"/>
        </w:rPr>
        <w:t xml:space="preserve">. </w:t>
      </w:r>
    </w:p>
    <w:p w:rsidR="00EF0EE7" w:rsidRDefault="00EF0EE7"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adatok</w:t>
      </w:r>
    </w:p>
    <w:p w:rsidR="00EF0EE7" w:rsidRDefault="00EF0EE7" w:rsidP="00B5250F">
      <w:pPr>
        <w:autoSpaceDE w:val="0"/>
        <w:jc w:val="both"/>
        <w:rPr>
          <w:rFonts w:ascii="Tahoma" w:hAnsi="Tahoma" w:cs="Tahoma"/>
          <w:color w:val="000000"/>
        </w:rPr>
      </w:pPr>
      <w:r>
        <w:rPr>
          <w:rFonts w:ascii="Tahoma" w:hAnsi="Tahoma" w:cs="Tahoma"/>
          <w:b/>
          <w:bCs/>
        </w:rPr>
        <w:t xml:space="preserve">11.1. </w:t>
      </w:r>
      <w:r w:rsidRPr="00A676E4">
        <w:rPr>
          <w:rFonts w:ascii="Tahoma" w:hAnsi="Tahoma" w:cs="Tahoma"/>
          <w:b/>
          <w:bCs/>
        </w:rPr>
        <w:t>A toxikológiai hatásokra vonatkozó információ:</w:t>
      </w:r>
      <w:r w:rsidRPr="00A676E4">
        <w:rPr>
          <w:rFonts w:ascii="Tahoma" w:hAnsi="Tahoma" w:cs="Tahoma"/>
        </w:rPr>
        <w:t xml:space="preserve"> </w:t>
      </w:r>
      <w:r>
        <w:rPr>
          <w:rFonts w:ascii="Tahoma" w:hAnsi="Tahoma" w:cs="Tahoma"/>
        </w:rPr>
        <w:t xml:space="preserve">célzott vizsgálatok nem történtek. </w:t>
      </w:r>
    </w:p>
    <w:p w:rsidR="00EF0EE7" w:rsidRPr="002019A6" w:rsidRDefault="00EF0EE7" w:rsidP="00B5250F">
      <w:pPr>
        <w:pStyle w:val="BodyTextIndent"/>
        <w:spacing w:before="40"/>
        <w:ind w:left="0"/>
      </w:pPr>
      <w:r w:rsidRPr="002019A6">
        <w:rPr>
          <w:b/>
          <w:bCs/>
        </w:rPr>
        <w:t xml:space="preserve">Akut toxicitás: </w:t>
      </w:r>
      <w:r w:rsidRPr="002019A6">
        <w:t xml:space="preserve">a termék </w:t>
      </w:r>
      <w:r>
        <w:t xml:space="preserve">a becsült ATE értékek alapján </w:t>
      </w:r>
      <w:r w:rsidRPr="002019A6">
        <w:t xml:space="preserve">nem osztályozandó lenyelve, bőrön át felszívódva, belélegezve ártalmas keveréknek. </w:t>
      </w:r>
    </w:p>
    <w:p w:rsidR="00EF0EE7" w:rsidRPr="002019A6" w:rsidRDefault="00EF0EE7" w:rsidP="00B5250F">
      <w:pPr>
        <w:autoSpaceDE w:val="0"/>
        <w:autoSpaceDN w:val="0"/>
        <w:adjustRightInd w:val="0"/>
        <w:spacing w:before="40"/>
        <w:jc w:val="both"/>
        <w:rPr>
          <w:rFonts w:ascii="Tahoma" w:hAnsi="Tahoma" w:cs="Tahoma"/>
        </w:rPr>
      </w:pPr>
      <w:r w:rsidRPr="002019A6">
        <w:rPr>
          <w:rFonts w:ascii="Tahoma" w:hAnsi="Tahoma" w:cs="Tahoma"/>
          <w:b/>
          <w:bCs/>
        </w:rPr>
        <w:t xml:space="preserve">Bőrmarás/bőrirritáció: </w:t>
      </w:r>
      <w:r w:rsidRPr="002019A6">
        <w:rPr>
          <w:rFonts w:ascii="Tahoma" w:hAnsi="Tahoma" w:cs="Tahoma"/>
        </w:rPr>
        <w:t>az összetevők koncentrációja és osztályozása alapján az osztályozás kritériumai nem teljesülnek, de tekintettel a termék extrém pH-értékére a veszél</w:t>
      </w:r>
      <w:r>
        <w:rPr>
          <w:rFonts w:ascii="Tahoma" w:hAnsi="Tahoma" w:cs="Tahoma"/>
        </w:rPr>
        <w:t>y</w:t>
      </w:r>
      <w:r w:rsidRPr="002019A6">
        <w:rPr>
          <w:rFonts w:ascii="Tahoma" w:hAnsi="Tahoma" w:cs="Tahoma"/>
        </w:rPr>
        <w:t xml:space="preserve">t és kockázatot </w:t>
      </w:r>
      <w:r>
        <w:rPr>
          <w:rFonts w:ascii="Tahoma" w:hAnsi="Tahoma" w:cs="Tahoma"/>
        </w:rPr>
        <w:t xml:space="preserve">mérlegelve </w:t>
      </w:r>
      <w:r w:rsidRPr="002019A6">
        <w:rPr>
          <w:rFonts w:ascii="Tahoma" w:hAnsi="Tahoma" w:cs="Tahoma"/>
        </w:rPr>
        <w:t xml:space="preserve">a terméket Skin Irrit. 2 veszélyességi osztályba soroljuk. </w:t>
      </w:r>
    </w:p>
    <w:p w:rsidR="00EF0EE7" w:rsidRPr="002019A6" w:rsidRDefault="00EF0EE7" w:rsidP="00EA67AC">
      <w:pPr>
        <w:autoSpaceDE w:val="0"/>
        <w:autoSpaceDN w:val="0"/>
        <w:adjustRightInd w:val="0"/>
        <w:spacing w:before="40"/>
        <w:jc w:val="both"/>
        <w:rPr>
          <w:rFonts w:ascii="Tahoma" w:hAnsi="Tahoma" w:cs="Tahoma"/>
        </w:rPr>
      </w:pPr>
      <w:r w:rsidRPr="002019A6">
        <w:rPr>
          <w:rFonts w:ascii="Tahoma" w:hAnsi="Tahoma" w:cs="Tahoma"/>
          <w:b/>
          <w:bCs/>
        </w:rPr>
        <w:t xml:space="preserve">Szemkárosodás/szemirritáció: </w:t>
      </w:r>
      <w:r w:rsidRPr="002019A6">
        <w:rPr>
          <w:rFonts w:ascii="Tahoma" w:hAnsi="Tahoma" w:cs="Tahoma"/>
        </w:rPr>
        <w:t>az összetevők koncentrációja és osztályozása alapján az osztályozás kritériumai nem teljesülnek, de tekintettel a termék extrém pH-értékére a veszél</w:t>
      </w:r>
      <w:r>
        <w:rPr>
          <w:rFonts w:ascii="Tahoma" w:hAnsi="Tahoma" w:cs="Tahoma"/>
        </w:rPr>
        <w:t>y</w:t>
      </w:r>
      <w:r w:rsidRPr="002019A6">
        <w:rPr>
          <w:rFonts w:ascii="Tahoma" w:hAnsi="Tahoma" w:cs="Tahoma"/>
        </w:rPr>
        <w:t xml:space="preserve">t és kockázatot </w:t>
      </w:r>
      <w:r>
        <w:rPr>
          <w:rFonts w:ascii="Tahoma" w:hAnsi="Tahoma" w:cs="Tahoma"/>
        </w:rPr>
        <w:t xml:space="preserve">mérlegelve </w:t>
      </w:r>
      <w:r w:rsidRPr="002019A6">
        <w:rPr>
          <w:rFonts w:ascii="Tahoma" w:hAnsi="Tahoma" w:cs="Tahoma"/>
        </w:rPr>
        <w:t xml:space="preserve">a terméket Eye Irrit. 2 veszélyességi osztályba soroljuk. </w:t>
      </w:r>
    </w:p>
    <w:p w:rsidR="00EF0EE7" w:rsidRPr="002019A6" w:rsidRDefault="00EF0EE7" w:rsidP="00B5250F">
      <w:pPr>
        <w:pStyle w:val="BodyTextIndent"/>
        <w:spacing w:before="40"/>
        <w:ind w:left="0"/>
      </w:pPr>
      <w:r w:rsidRPr="002019A6">
        <w:rPr>
          <w:b/>
          <w:bCs/>
        </w:rPr>
        <w:t>Bőr és légúti szenzibilizáció:</w:t>
      </w:r>
      <w:r w:rsidRPr="002019A6">
        <w:t xml:space="preserve"> a rendelkezésre álló adatok alapján az osztályozás kritériumai nem teljesülnek. </w:t>
      </w:r>
    </w:p>
    <w:p w:rsidR="00EF0EE7" w:rsidRDefault="00EF0EE7" w:rsidP="00B5250F">
      <w:pPr>
        <w:autoSpaceDE w:val="0"/>
        <w:autoSpaceDN w:val="0"/>
        <w:adjustRightInd w:val="0"/>
        <w:spacing w:before="60"/>
        <w:jc w:val="both"/>
        <w:rPr>
          <w:rFonts w:ascii="Tahoma" w:hAnsi="Tahoma" w:cs="Tahoma"/>
        </w:rPr>
      </w:pPr>
      <w:r w:rsidRPr="008D584F">
        <w:rPr>
          <w:rFonts w:ascii="Tahoma" w:hAnsi="Tahoma" w:cs="Tahoma"/>
          <w:b/>
          <w:bCs/>
          <w:snapToGrid w:val="0"/>
        </w:rPr>
        <w:t>CMR hatások (rákkeltő, mutagén és reprodukciós toxicitás)</w:t>
      </w:r>
      <w:r>
        <w:rPr>
          <w:rFonts w:ascii="Tahoma" w:hAnsi="Tahoma" w:cs="Tahoma"/>
          <w:b/>
          <w:bCs/>
          <w:snapToGrid w:val="0"/>
        </w:rPr>
        <w:t xml:space="preserve">: </w:t>
      </w:r>
      <w:r>
        <w:rPr>
          <w:rFonts w:ascii="Tahoma" w:hAnsi="Tahoma" w:cs="Tahoma"/>
          <w:snapToGrid w:val="0"/>
        </w:rPr>
        <w:t>jelentős hatás, kritikus veszély nem ismert. A</w:t>
      </w:r>
      <w:r w:rsidRPr="008D584F">
        <w:rPr>
          <w:rFonts w:ascii="Tahoma" w:hAnsi="Tahoma" w:cs="Tahoma"/>
          <w:snapToGrid w:val="0"/>
        </w:rPr>
        <w:t xml:space="preserve"> rendelkezésre álló adatok</w:t>
      </w:r>
      <w:r w:rsidRPr="008D584F">
        <w:rPr>
          <w:rFonts w:ascii="Tahoma" w:hAnsi="Tahoma" w:cs="Tahoma"/>
        </w:rPr>
        <w:t xml:space="preserve"> </w:t>
      </w:r>
      <w:r w:rsidRPr="00C033C4">
        <w:rPr>
          <w:rFonts w:ascii="Tahoma" w:hAnsi="Tahoma" w:cs="Tahoma"/>
        </w:rPr>
        <w:t>alapján</w:t>
      </w:r>
      <w:r>
        <w:rPr>
          <w:rFonts w:ascii="Tahoma" w:hAnsi="Tahoma" w:cs="Tahoma"/>
        </w:rPr>
        <w:t xml:space="preserve"> a termék CMR tulajdonságú anyagot nem tartalmaz, </w:t>
      </w:r>
      <w:r w:rsidRPr="00C033C4">
        <w:rPr>
          <w:rFonts w:ascii="Tahoma" w:hAnsi="Tahoma" w:cs="Tahoma"/>
        </w:rPr>
        <w:t>az osztályozás kritériumai nem teljesülnek.</w:t>
      </w:r>
    </w:p>
    <w:p w:rsidR="00EF0EE7" w:rsidRPr="00335C02" w:rsidRDefault="00EF0EE7" w:rsidP="00B5250F">
      <w:pPr>
        <w:pStyle w:val="BodyTextIndent"/>
        <w:spacing w:before="80"/>
        <w:ind w:left="0"/>
      </w:pPr>
      <w:r>
        <w:rPr>
          <w:b/>
          <w:bCs/>
        </w:rPr>
        <w:t xml:space="preserve">Célszervi toxicitás (STOT SE , STOT RE): </w:t>
      </w:r>
      <w:r w:rsidRPr="00335C02">
        <w:t xml:space="preserve">az osztályozás kritériumai nem teljesülnek. </w:t>
      </w:r>
    </w:p>
    <w:p w:rsidR="00EF0EE7" w:rsidRDefault="00EF0EE7" w:rsidP="00B5250F">
      <w:pPr>
        <w:pStyle w:val="BodyTextIndent"/>
        <w:spacing w:before="80"/>
        <w:ind w:left="0"/>
      </w:pPr>
      <w:r>
        <w:rPr>
          <w:b/>
          <w:bCs/>
        </w:rPr>
        <w:t>Aspirációs toxicitás:</w:t>
      </w:r>
      <w:r w:rsidRPr="0086624B">
        <w:t xml:space="preserve"> </w:t>
      </w:r>
      <w:r>
        <w:t xml:space="preserve">jelentős hatás, kritikus veszély nem ismert, </w:t>
      </w:r>
      <w:r w:rsidRPr="008D584F">
        <w:t xml:space="preserve">a rendelkezésre álló adatok </w:t>
      </w:r>
      <w:r w:rsidRPr="00C033C4">
        <w:t>alapján az osztályozás kritériumai nem teljesülnek.</w:t>
      </w:r>
    </w:p>
    <w:p w:rsidR="00EF0EE7" w:rsidRDefault="00EF0EE7"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12. szakasz: Ökológiai információk</w:t>
      </w:r>
    </w:p>
    <w:p w:rsidR="00EF0EE7" w:rsidRDefault="00EF0EE7" w:rsidP="005D6C4F">
      <w:pPr>
        <w:pStyle w:val="BodyTextIndent"/>
        <w:spacing w:before="0"/>
        <w:ind w:left="0"/>
      </w:pPr>
      <w:r>
        <w:rPr>
          <w:b/>
          <w:bCs/>
        </w:rPr>
        <w:t>12.1. Toxicitás</w:t>
      </w:r>
      <w:r w:rsidRPr="00087B12">
        <w:rPr>
          <w:b/>
          <w:bCs/>
        </w:rPr>
        <w:t>:</w:t>
      </w:r>
      <w:r w:rsidRPr="00087B12">
        <w:t xml:space="preserve"> </w:t>
      </w:r>
      <w:r>
        <w:t xml:space="preserve">célzott </w:t>
      </w:r>
      <w:r w:rsidRPr="001A71E5">
        <w:t xml:space="preserve">vizsgálatokat nem végeztek. </w:t>
      </w:r>
      <w:r>
        <w:t>M</w:t>
      </w:r>
      <w:r w:rsidRPr="00783638">
        <w:t xml:space="preserve">egítélése </w:t>
      </w:r>
      <w:r>
        <w:t xml:space="preserve">az összetevőkre vonatkozó ökotoxikológiai adatok alapján a CLP-rendeletnek megfelelően történt. </w:t>
      </w:r>
    </w:p>
    <w:p w:rsidR="00EF0EE7" w:rsidRDefault="00EF0EE7" w:rsidP="005D6C4F">
      <w:pPr>
        <w:pStyle w:val="BodyTextIndent"/>
        <w:spacing w:before="0"/>
        <w:ind w:left="0"/>
      </w:pPr>
      <w:r>
        <w:t xml:space="preserve">A termék nem osztályozandó a környezetre veszélyes keveréknek. </w:t>
      </w:r>
    </w:p>
    <w:p w:rsidR="00EF0EE7" w:rsidRDefault="00EF0EE7" w:rsidP="00867F7E">
      <w:pPr>
        <w:pStyle w:val="BodyTextIndent"/>
        <w:tabs>
          <w:tab w:val="clear" w:pos="1701"/>
          <w:tab w:val="left" w:pos="1134"/>
          <w:tab w:val="left" w:pos="1560"/>
        </w:tabs>
        <w:spacing w:before="40"/>
        <w:ind w:left="284" w:hanging="284"/>
      </w:pPr>
      <w:r>
        <w:rPr>
          <w:b/>
          <w:bCs/>
        </w:rPr>
        <w:t>Szulfaminsav:</w:t>
      </w:r>
      <w:r>
        <w:rPr>
          <w:b/>
          <w:bCs/>
        </w:rPr>
        <w:tab/>
      </w:r>
      <w:r>
        <w:t>LC</w:t>
      </w:r>
      <w:r>
        <w:rPr>
          <w:vertAlign w:val="subscript"/>
        </w:rPr>
        <w:t>50</w:t>
      </w:r>
      <w:r>
        <w:t xml:space="preserve"> (</w:t>
      </w:r>
      <w:r w:rsidRPr="00546BDB">
        <w:rPr>
          <w:i/>
          <w:iCs/>
        </w:rPr>
        <w:t>Pimephales promelas,</w:t>
      </w:r>
      <w:r>
        <w:t xml:space="preserve"> 96 óra): 70,3mg/l </w:t>
      </w:r>
    </w:p>
    <w:p w:rsidR="00EF0EE7" w:rsidRDefault="00EF0EE7" w:rsidP="00867F7E">
      <w:pPr>
        <w:tabs>
          <w:tab w:val="left" w:pos="2127"/>
        </w:tabs>
        <w:autoSpaceDE w:val="0"/>
        <w:autoSpaceDN w:val="0"/>
        <w:adjustRightInd w:val="0"/>
        <w:ind w:left="1560"/>
        <w:rPr>
          <w:rFonts w:ascii="Tahoma" w:hAnsi="Tahoma" w:cs="Tahoma"/>
        </w:rPr>
      </w:pPr>
      <w:r>
        <w:rPr>
          <w:rFonts w:ascii="Tahoma" w:hAnsi="Tahoma" w:cs="Tahoma"/>
        </w:rPr>
        <w:t>EC</w:t>
      </w:r>
      <w:r>
        <w:rPr>
          <w:rFonts w:ascii="Tahoma" w:hAnsi="Tahoma" w:cs="Tahoma"/>
          <w:vertAlign w:val="subscript"/>
        </w:rPr>
        <w:t>50</w:t>
      </w:r>
      <w:r>
        <w:rPr>
          <w:rFonts w:ascii="Tahoma" w:hAnsi="Tahoma" w:cs="Tahoma"/>
        </w:rPr>
        <w:t xml:space="preserve"> (</w:t>
      </w:r>
      <w:r>
        <w:rPr>
          <w:rFonts w:ascii="Tahoma" w:hAnsi="Tahoma" w:cs="Tahoma"/>
          <w:i/>
          <w:iCs/>
        </w:rPr>
        <w:t>Dapnia magna</w:t>
      </w:r>
      <w:r>
        <w:rPr>
          <w:rFonts w:ascii="Tahoma" w:hAnsi="Tahoma" w:cs="Tahoma"/>
        </w:rPr>
        <w:t>, 96 óra): 71,6 mg/l</w:t>
      </w:r>
    </w:p>
    <w:p w:rsidR="00EF0EE7" w:rsidRPr="00D43194" w:rsidRDefault="00EF0EE7" w:rsidP="00867F7E">
      <w:pPr>
        <w:pStyle w:val="Default"/>
        <w:ind w:left="1560"/>
        <w:jc w:val="both"/>
        <w:rPr>
          <w:rFonts w:ascii="Tahoma" w:hAnsi="Tahoma" w:cs="Tahoma"/>
          <w:sz w:val="20"/>
          <w:szCs w:val="20"/>
        </w:rPr>
      </w:pPr>
      <w:r w:rsidRPr="00D43194">
        <w:rPr>
          <w:rFonts w:ascii="Tahoma" w:hAnsi="Tahoma" w:cs="Tahoma"/>
          <w:sz w:val="20"/>
          <w:szCs w:val="20"/>
        </w:rPr>
        <w:t>E</w:t>
      </w:r>
      <w:r w:rsidRPr="00E80630">
        <w:rPr>
          <w:rFonts w:ascii="Tahoma" w:hAnsi="Tahoma" w:cs="Tahoma"/>
          <w:sz w:val="20"/>
          <w:szCs w:val="20"/>
          <w:vertAlign w:val="subscript"/>
        </w:rPr>
        <w:t>r</w:t>
      </w:r>
      <w:r w:rsidRPr="00D43194">
        <w:rPr>
          <w:rFonts w:ascii="Tahoma" w:hAnsi="Tahoma" w:cs="Tahoma"/>
          <w:sz w:val="20"/>
          <w:szCs w:val="20"/>
        </w:rPr>
        <w:t>C</w:t>
      </w:r>
      <w:r w:rsidRPr="00D43194">
        <w:rPr>
          <w:rFonts w:ascii="Tahoma" w:hAnsi="Tahoma" w:cs="Tahoma"/>
          <w:sz w:val="20"/>
          <w:szCs w:val="20"/>
          <w:vertAlign w:val="subscript"/>
        </w:rPr>
        <w:t>50</w:t>
      </w:r>
      <w:r w:rsidRPr="00D43194">
        <w:rPr>
          <w:rFonts w:ascii="Tahoma" w:hAnsi="Tahoma" w:cs="Tahoma"/>
          <w:sz w:val="20"/>
          <w:szCs w:val="20"/>
        </w:rPr>
        <w:t xml:space="preserve"> (</w:t>
      </w:r>
      <w:r w:rsidRPr="00D43194">
        <w:rPr>
          <w:rFonts w:ascii="Tahoma" w:hAnsi="Tahoma" w:cs="Tahoma"/>
          <w:i/>
          <w:iCs/>
          <w:sz w:val="20"/>
          <w:szCs w:val="20"/>
        </w:rPr>
        <w:t xml:space="preserve">Desmodesmus subspicatus, </w:t>
      </w:r>
      <w:r w:rsidRPr="00D43194">
        <w:rPr>
          <w:rFonts w:ascii="Tahoma" w:hAnsi="Tahoma" w:cs="Tahoma"/>
          <w:sz w:val="20"/>
          <w:szCs w:val="20"/>
        </w:rPr>
        <w:t>72 óra): 48 mg/l</w:t>
      </w:r>
    </w:p>
    <w:p w:rsidR="00EF0EE7" w:rsidRDefault="00EF0EE7" w:rsidP="004A2824">
      <w:pPr>
        <w:pStyle w:val="BodyTextIndent"/>
        <w:spacing w:before="40"/>
        <w:ind w:left="0"/>
      </w:pPr>
      <w:r w:rsidRPr="001A71E5">
        <w:rPr>
          <w:b/>
          <w:bCs/>
        </w:rPr>
        <w:t>12.</w:t>
      </w:r>
      <w:r>
        <w:rPr>
          <w:b/>
          <w:bCs/>
        </w:rPr>
        <w:t>2</w:t>
      </w:r>
      <w:r w:rsidRPr="001A71E5">
        <w:rPr>
          <w:b/>
          <w:bCs/>
        </w:rPr>
        <w:t>. Perzisztencia és lebonthatóság:</w:t>
      </w:r>
      <w:r>
        <w:rPr>
          <w:b/>
          <w:bCs/>
        </w:rPr>
        <w:t xml:space="preserve"> </w:t>
      </w:r>
      <w:r w:rsidRPr="0012223F">
        <w:t>a</w:t>
      </w:r>
      <w:r w:rsidRPr="00A70C8D">
        <w:t xml:space="preserve"> termékben lévő felületaktív anyag</w:t>
      </w:r>
      <w:r>
        <w:t xml:space="preserve"> </w:t>
      </w:r>
      <w:r w:rsidRPr="00A70C8D">
        <w:t>megfelel</w:t>
      </w:r>
      <w:r>
        <w:t xml:space="preserve"> </w:t>
      </w:r>
      <w:r w:rsidRPr="00A70C8D">
        <w:t>a 648/2004/EK rendeletben előírt biológiai lebomlási kritériumoknak</w:t>
      </w:r>
      <w:r>
        <w:t xml:space="preserve">. </w:t>
      </w:r>
      <w:r w:rsidRPr="00A70C8D">
        <w:t>Az ezt alátámasztó adatok mindenkor a tagállamok illetékes szerveinek a rendelkezésére állnak, és közvetlen kérésükre vagy a tisztítószer gyártó kérésére megtekinthetők.</w:t>
      </w:r>
      <w:r>
        <w:t xml:space="preserve"> </w:t>
      </w:r>
    </w:p>
    <w:p w:rsidR="00EF0EE7" w:rsidRDefault="00EF0EE7" w:rsidP="00867F7E">
      <w:pPr>
        <w:pStyle w:val="BodyTextIndent2"/>
        <w:spacing w:before="40"/>
        <w:ind w:left="0"/>
      </w:pPr>
      <w:r w:rsidRPr="00D369CD">
        <w:rPr>
          <w:b/>
          <w:bCs/>
        </w:rPr>
        <w:t>12.3. Bioakkumulációs képesség:</w:t>
      </w:r>
      <w:r w:rsidRPr="00D369CD">
        <w:t xml:space="preserve"> az szulfaminsav logP</w:t>
      </w:r>
      <w:r w:rsidRPr="00D369CD">
        <w:rPr>
          <w:vertAlign w:val="subscript"/>
        </w:rPr>
        <w:t>o/w</w:t>
      </w:r>
      <w:r w:rsidRPr="00D369CD">
        <w:t xml:space="preserve"> értéke: 0,1;</w:t>
      </w:r>
    </w:p>
    <w:p w:rsidR="00EF0EE7" w:rsidRPr="00D369CD" w:rsidRDefault="00EF0EE7" w:rsidP="00D369CD">
      <w:pPr>
        <w:pStyle w:val="BodyTextIndent2"/>
        <w:ind w:left="0" w:firstLine="3402"/>
      </w:pPr>
      <w:r w:rsidRPr="00D369CD">
        <w:t>az N,N-dimetil-tetradecilamin-N-oxid logP</w:t>
      </w:r>
      <w:r w:rsidRPr="00D369CD">
        <w:rPr>
          <w:vertAlign w:val="subscript"/>
        </w:rPr>
        <w:t>o/w</w:t>
      </w:r>
      <w:r w:rsidRPr="00D369CD">
        <w:t xml:space="preserve"> értéke: 5,66</w:t>
      </w:r>
    </w:p>
    <w:p w:rsidR="00EF0EE7" w:rsidRDefault="00EF0EE7" w:rsidP="004A2824">
      <w:pPr>
        <w:pStyle w:val="BodyTextIndent2"/>
        <w:spacing w:before="40"/>
        <w:ind w:left="0"/>
      </w:pPr>
      <w:r w:rsidRPr="00ED5636">
        <w:rPr>
          <w:b/>
          <w:bCs/>
        </w:rPr>
        <w:t>12.</w:t>
      </w:r>
      <w:r>
        <w:rPr>
          <w:b/>
          <w:bCs/>
        </w:rPr>
        <w:t>4</w:t>
      </w:r>
      <w:r w:rsidRPr="00ED5636">
        <w:rPr>
          <w:b/>
          <w:bCs/>
        </w:rPr>
        <w:t>. A talajban való mobilitás:</w:t>
      </w:r>
      <w:r>
        <w:t xml:space="preserve"> nincs adat.</w:t>
      </w:r>
    </w:p>
    <w:p w:rsidR="00EF0EE7" w:rsidRDefault="00EF0EE7" w:rsidP="004A2824">
      <w:pPr>
        <w:pStyle w:val="BodyTextIndent2"/>
        <w:spacing w:before="40"/>
        <w:ind w:left="0"/>
      </w:pPr>
      <w:r w:rsidRPr="0083583D">
        <w:rPr>
          <w:b/>
          <w:bCs/>
        </w:rPr>
        <w:t>12.5. A PBT</w:t>
      </w:r>
      <w:r>
        <w:rPr>
          <w:b/>
          <w:bCs/>
        </w:rPr>
        <w:t>-</w:t>
      </w:r>
      <w:r w:rsidRPr="0083583D">
        <w:rPr>
          <w:b/>
          <w:bCs/>
        </w:rPr>
        <w:t xml:space="preserve"> és </w:t>
      </w:r>
      <w:r>
        <w:rPr>
          <w:b/>
          <w:bCs/>
        </w:rPr>
        <w:t xml:space="preserve">a </w:t>
      </w:r>
      <w:r w:rsidRPr="0083583D">
        <w:rPr>
          <w:b/>
          <w:bCs/>
        </w:rPr>
        <w:t>vPvB</w:t>
      </w:r>
      <w:r>
        <w:rPr>
          <w:b/>
          <w:bCs/>
        </w:rPr>
        <w:t>-</w:t>
      </w:r>
      <w:r w:rsidRPr="0083583D">
        <w:rPr>
          <w:b/>
          <w:bCs/>
        </w:rPr>
        <w:t>értékelés:</w:t>
      </w:r>
      <w:r>
        <w:t xml:space="preserve"> a termék összetevői nem PBT-, nem vPvB-anyagok.</w:t>
      </w:r>
    </w:p>
    <w:p w:rsidR="00EF0EE7" w:rsidRPr="001A71E5" w:rsidRDefault="00EF0EE7" w:rsidP="004A2824">
      <w:pPr>
        <w:pStyle w:val="BodyTextIndent2"/>
        <w:spacing w:before="40"/>
        <w:ind w:left="0"/>
      </w:pPr>
      <w:r>
        <w:rPr>
          <w:b/>
          <w:bCs/>
        </w:rPr>
        <w:t xml:space="preserve">12.6. </w:t>
      </w:r>
      <w:r w:rsidRPr="001A71E5">
        <w:rPr>
          <w:b/>
          <w:bCs/>
        </w:rPr>
        <w:t>Egyéb</w:t>
      </w:r>
      <w:r>
        <w:rPr>
          <w:b/>
          <w:bCs/>
        </w:rPr>
        <w:t xml:space="preserve"> káros hatások:</w:t>
      </w:r>
      <w:r w:rsidRPr="0010615F">
        <w:t xml:space="preserve"> </w:t>
      </w:r>
      <w:r>
        <w:t>a</w:t>
      </w:r>
      <w:r w:rsidRPr="00087B12">
        <w:t xml:space="preserve"> terméket nagy mennyiségben nem szabad a közművek szennyvízcsatornáiba, valamint a természetes felszíni vizekbe és a talajvízbe juttatni; mert az a </w:t>
      </w:r>
      <w:r>
        <w:br/>
      </w:r>
      <w:r w:rsidRPr="00087B12">
        <w:t xml:space="preserve">pH-érték csökkenéséhez vezethet; az alacsony pH károsítja a vízi élőlényeket. </w:t>
      </w:r>
      <w:r w:rsidRPr="001A71E5">
        <w:t>Ha hígított formában a szennyvízcsatornába vezetik, az erre vonatkozó helyi előírások (pl.: pH-érték) követendők.</w:t>
      </w:r>
    </w:p>
    <w:p w:rsidR="00EF0EE7" w:rsidRDefault="00EF0EE7" w:rsidP="00B12268">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EF0EE7" w:rsidRDefault="00EF0EE7" w:rsidP="00B26C47">
      <w:pPr>
        <w:pStyle w:val="BodyTextIndent"/>
        <w:ind w:left="0"/>
      </w:pPr>
      <w:r w:rsidRPr="00D14ED4">
        <w:rPr>
          <w:b/>
          <w:bCs/>
        </w:rPr>
        <w:t>13.1. Hulladékkezelési módszerek</w:t>
      </w:r>
      <w:r>
        <w:rPr>
          <w:b/>
          <w:bCs/>
        </w:rPr>
        <w:t xml:space="preserve">: </w:t>
      </w:r>
      <w:r w:rsidRPr="00794836">
        <w:t xml:space="preserve">a </w:t>
      </w:r>
      <w:r w:rsidRPr="00D14ED4">
        <w:t>termék</w:t>
      </w:r>
      <w:r>
        <w:t xml:space="preserve"> maradékának, hulladékának </w:t>
      </w:r>
      <w:r w:rsidRPr="00D14ED4">
        <w:t xml:space="preserve">és </w:t>
      </w:r>
      <w:r>
        <w:t xml:space="preserve">a </w:t>
      </w:r>
      <w:r w:rsidRPr="00D14ED4">
        <w:t xml:space="preserve">csomagolóanyagának </w:t>
      </w:r>
      <w:r>
        <w:t xml:space="preserve">az </w:t>
      </w:r>
      <w:r w:rsidRPr="00D14ED4">
        <w:t>ártalmatlanítása a helyi előírásoknak megfelelően történjen.</w:t>
      </w:r>
      <w:r>
        <w:t xml:space="preserve"> </w:t>
      </w:r>
    </w:p>
    <w:p w:rsidR="00EF0EE7" w:rsidRDefault="00EF0EE7" w:rsidP="00A1655E">
      <w:pPr>
        <w:pStyle w:val="BodyTextIndent"/>
        <w:ind w:left="0"/>
      </w:pPr>
      <w:r w:rsidRPr="00D14ED4">
        <w:t xml:space="preserve">A termék maradékainak és hulladékainak kezelésére a </w:t>
      </w:r>
      <w:r>
        <w:t>225</w:t>
      </w:r>
      <w:r w:rsidRPr="00D14ED4">
        <w:t>/20</w:t>
      </w:r>
      <w:r>
        <w:t>15</w:t>
      </w:r>
      <w:r w:rsidRPr="00D14ED4">
        <w:t>. (V</w:t>
      </w:r>
      <w:r>
        <w:t>II</w:t>
      </w:r>
      <w:r w:rsidRPr="00D14ED4">
        <w:t>I.</w:t>
      </w:r>
      <w:r>
        <w:t>7</w:t>
      </w:r>
      <w:r w:rsidRPr="00D14ED4">
        <w:t xml:space="preserve">.) Kormányrendeletben foglaltak az irányadók. </w:t>
      </w:r>
      <w:r w:rsidRPr="006E031F">
        <w:t>A készítmény hulladékának besorolása a felhasználás helyétől és a hulladékká válás körülményeitől függően változhat.</w:t>
      </w:r>
      <w:r>
        <w:t xml:space="preserve"> </w:t>
      </w:r>
      <w:r>
        <w:rPr>
          <w:spacing w:val="-2"/>
        </w:rPr>
        <w:t>Kis mennyiségek háztartási hulladékként kezelhetőek.</w:t>
      </w:r>
    </w:p>
    <w:p w:rsidR="00EF0EE7" w:rsidRPr="00A1655E" w:rsidRDefault="00EF0EE7" w:rsidP="00CD5461">
      <w:pPr>
        <w:tabs>
          <w:tab w:val="left" w:pos="2268"/>
        </w:tabs>
        <w:spacing w:before="40"/>
        <w:ind w:right="170"/>
        <w:jc w:val="both"/>
        <w:rPr>
          <w:rFonts w:ascii="Tahoma" w:hAnsi="Tahoma" w:cs="Tahoma"/>
          <w:snapToGrid w:val="0"/>
        </w:rPr>
      </w:pPr>
      <w:r w:rsidRPr="00A1655E">
        <w:rPr>
          <w:rFonts w:ascii="Tahoma" w:hAnsi="Tahoma" w:cs="Tahoma"/>
          <w:snapToGrid w:val="0"/>
          <w:spacing w:val="-2"/>
        </w:rPr>
        <w:t>A termék hulladékának besorolása h</w:t>
      </w:r>
      <w:r w:rsidRPr="00A1655E">
        <w:rPr>
          <w:rFonts w:ascii="Tahoma" w:hAnsi="Tahoma" w:cs="Tahoma"/>
          <w:snapToGrid w:val="0"/>
        </w:rPr>
        <w:t>ulladékkulcs: 16 10 01*</w:t>
      </w:r>
    </w:p>
    <w:p w:rsidR="00EF0EE7" w:rsidRPr="00D369CD" w:rsidRDefault="00EF0EE7" w:rsidP="00CD5461">
      <w:pPr>
        <w:tabs>
          <w:tab w:val="left" w:pos="142"/>
          <w:tab w:val="left" w:pos="1701"/>
        </w:tabs>
        <w:spacing w:before="60"/>
        <w:jc w:val="both"/>
        <w:rPr>
          <w:rFonts w:ascii="Tahoma" w:hAnsi="Tahoma" w:cs="Tahoma"/>
          <w:snapToGrid w:val="0"/>
        </w:rPr>
      </w:pPr>
      <w:r w:rsidRPr="00D369CD">
        <w:rPr>
          <w:rFonts w:ascii="Tahoma" w:hAnsi="Tahoma" w:cs="Tahoma"/>
          <w:snapToGrid w:val="0"/>
        </w:rPr>
        <w:t>A vízzel alaposan kitisztított, hulladékká vált csomagolóanyag besorolása: 15 01 02</w:t>
      </w:r>
    </w:p>
    <w:p w:rsidR="00EF0EE7" w:rsidRDefault="00EF0EE7" w:rsidP="00CD5461">
      <w:pPr>
        <w:pStyle w:val="BodyTextIndent"/>
        <w:spacing w:before="0"/>
        <w:ind w:left="0"/>
      </w:pPr>
      <w:r w:rsidRPr="00AF549D">
        <w:t xml:space="preserve">A csomagolási hulladékkal kapcsolatos hulladékgazdálkodási tevékenységet a 442/2012. (XII.29.) </w:t>
      </w:r>
      <w:r>
        <w:t>k</w:t>
      </w:r>
      <w:r w:rsidRPr="00AF549D">
        <w:t>ormányrendelet szabályozza.</w:t>
      </w:r>
    </w:p>
    <w:p w:rsidR="00EF0EE7" w:rsidRDefault="00EF0EE7" w:rsidP="00B26C47">
      <w:pPr>
        <w:widowControl w:val="0"/>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EF0EE7" w:rsidRDefault="00EF0EE7" w:rsidP="005D6C4F">
      <w:pPr>
        <w:pStyle w:val="BodyTextIndent"/>
        <w:spacing w:before="0"/>
        <w:ind w:left="0"/>
        <w:rPr>
          <w:b/>
          <w:bCs/>
        </w:rPr>
      </w:pPr>
      <w:r w:rsidRPr="007E27A7">
        <w:t xml:space="preserve">A termék a veszélyes áruk nemzetközi szállítását szabályozó egyezmények szerint (ADR/RID, IMDG, IATA/ICAO) </w:t>
      </w:r>
      <w:r w:rsidRPr="0021620D">
        <w:rPr>
          <w:b/>
          <w:bCs/>
        </w:rPr>
        <w:t>nem</w:t>
      </w:r>
      <w:r>
        <w:t xml:space="preserve"> </w:t>
      </w:r>
      <w:r w:rsidRPr="007E27A7">
        <w:rPr>
          <w:b/>
          <w:bCs/>
        </w:rPr>
        <w:t>veszélyes áru.</w:t>
      </w:r>
    </w:p>
    <w:p w:rsidR="00EF0EE7" w:rsidRPr="007E27A7" w:rsidRDefault="00EF0EE7" w:rsidP="002019A6">
      <w:pPr>
        <w:pStyle w:val="BodyTextIndent"/>
        <w:ind w:left="0"/>
      </w:pPr>
      <w:r w:rsidRPr="00FF1678">
        <w:rPr>
          <w:b/>
          <w:bCs/>
        </w:rPr>
        <w:t>14.1</w:t>
      </w:r>
      <w:r>
        <w:rPr>
          <w:b/>
          <w:bCs/>
        </w:rPr>
        <w:t>.</w:t>
      </w:r>
      <w:r w:rsidRPr="00FF1678">
        <w:rPr>
          <w:b/>
          <w:bCs/>
        </w:rPr>
        <w:t xml:space="preserve"> </w:t>
      </w:r>
      <w:r>
        <w:rPr>
          <w:b/>
          <w:bCs/>
        </w:rPr>
        <w:t xml:space="preserve">– </w:t>
      </w:r>
      <w:r w:rsidRPr="00FF1678">
        <w:rPr>
          <w:b/>
          <w:bCs/>
        </w:rPr>
        <w:t>14.7</w:t>
      </w:r>
      <w:r w:rsidRPr="00EF2769">
        <w:rPr>
          <w:b/>
          <w:bCs/>
        </w:rPr>
        <w:t xml:space="preserve">.: </w:t>
      </w:r>
      <w:r w:rsidRPr="00FF1678">
        <w:t>nem alkalmazható</w:t>
      </w:r>
      <w:r>
        <w:t>.</w:t>
      </w:r>
    </w:p>
    <w:p w:rsidR="00EF0EE7" w:rsidRDefault="00EF0EE7"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EF0EE7" w:rsidRPr="00852B67" w:rsidRDefault="00EF0EE7" w:rsidP="00B26C47">
      <w:pPr>
        <w:pStyle w:val="BodyTextIndent"/>
        <w:ind w:left="0"/>
        <w:rPr>
          <w:b/>
          <w:bCs/>
        </w:rPr>
      </w:pPr>
      <w:r w:rsidRPr="00852B67">
        <w:rPr>
          <w:b/>
          <w:bCs/>
        </w:rPr>
        <w:t xml:space="preserve">15.1. </w:t>
      </w:r>
      <w:r>
        <w:rPr>
          <w:b/>
          <w:bCs/>
        </w:rPr>
        <w:t>A keverékkel k</w:t>
      </w:r>
      <w:r w:rsidRPr="00852B67">
        <w:rPr>
          <w:b/>
          <w:bCs/>
        </w:rPr>
        <w:t>apcsolatos biztonsági, egészségügyi és környezetvédelmi előírások/jogszabályok</w:t>
      </w:r>
    </w:p>
    <w:p w:rsidR="00EF0EE7" w:rsidRPr="00887421" w:rsidRDefault="00EF0EE7" w:rsidP="00B72CE8">
      <w:pPr>
        <w:pStyle w:val="BodyTextIndent"/>
        <w:widowControl w:val="0"/>
        <w:spacing w:before="40"/>
        <w:ind w:left="0"/>
      </w:pPr>
      <w:r w:rsidRPr="00887421">
        <w:t>A termék nem tartalmaz különös aggodalomra okot adó (SVHC) anyagot.</w:t>
      </w:r>
    </w:p>
    <w:p w:rsidR="00EF0EE7" w:rsidRPr="00887421" w:rsidRDefault="00EF0EE7" w:rsidP="00D369CD">
      <w:pPr>
        <w:pStyle w:val="BodyTextIndent"/>
        <w:widowControl w:val="0"/>
        <w:spacing w:before="0"/>
        <w:ind w:left="0"/>
      </w:pPr>
      <w:r w:rsidRPr="00887421">
        <w:t>A termék nem tartalmaz a REACH XIV.</w:t>
      </w:r>
      <w:r>
        <w:t xml:space="preserve"> és XVII.</w:t>
      </w:r>
      <w:r w:rsidRPr="00887421">
        <w:t xml:space="preserve"> mellékletében listázott anyagot.</w:t>
      </w:r>
    </w:p>
    <w:p w:rsidR="00EF0EE7" w:rsidRPr="00887421" w:rsidRDefault="00EF0EE7" w:rsidP="00D369CD">
      <w:pPr>
        <w:pStyle w:val="BodyTextIndent"/>
        <w:widowControl w:val="0"/>
        <w:spacing w:before="0"/>
        <w:ind w:left="0"/>
      </w:pPr>
      <w:r w:rsidRPr="00887421">
        <w:t>A termék nem tartalmaz ózonréteg károsító anyagot.</w:t>
      </w:r>
    </w:p>
    <w:p w:rsidR="00EF0EE7" w:rsidRPr="009F775C" w:rsidRDefault="00EF0EE7" w:rsidP="002019A6">
      <w:pPr>
        <w:pStyle w:val="BodyTextIndent"/>
        <w:widowControl w:val="0"/>
        <w:spacing w:before="120"/>
        <w:ind w:left="0"/>
        <w:rPr>
          <w:b/>
          <w:bCs/>
        </w:rPr>
      </w:pPr>
      <w:r w:rsidRPr="009F775C">
        <w:rPr>
          <w:b/>
          <w:bCs/>
        </w:rPr>
        <w:t>Vonatkozó közösségi joganyagok</w:t>
      </w:r>
    </w:p>
    <w:p w:rsidR="00EF0EE7" w:rsidRPr="009F775C" w:rsidRDefault="00EF0EE7" w:rsidP="002019A6">
      <w:pPr>
        <w:pStyle w:val="BodyTextIndent"/>
        <w:spacing w:before="0"/>
        <w:ind w:left="0"/>
      </w:pPr>
      <w:r w:rsidRPr="009F775C">
        <w:t>REACH rendelet: 1907/2006/EK és módosításai;</w:t>
      </w:r>
    </w:p>
    <w:p w:rsidR="00EF0EE7" w:rsidRPr="00BF717E" w:rsidRDefault="00EF0EE7" w:rsidP="00D369CD">
      <w:pPr>
        <w:spacing w:before="40"/>
        <w:jc w:val="both"/>
        <w:rPr>
          <w:rFonts w:ascii="Tahoma" w:hAnsi="Tahoma" w:cs="Tahoma"/>
          <w:snapToGrid w:val="0"/>
        </w:rPr>
      </w:pPr>
      <w:r w:rsidRPr="00FF5C39">
        <w:rPr>
          <w:rFonts w:ascii="Tahoma" w:hAnsi="Tahoma" w:cs="Tahoma"/>
          <w:snapToGrid w:val="0"/>
        </w:rPr>
        <w:t>CLP-rendelet (1272/2008/EK) és módosításai</w:t>
      </w:r>
      <w:r>
        <w:rPr>
          <w:rFonts w:ascii="Tahoma" w:hAnsi="Tahoma" w:cs="Tahoma"/>
          <w:snapToGrid w:val="0"/>
        </w:rPr>
        <w:t xml:space="preserve"> – </w:t>
      </w:r>
      <w:r w:rsidRPr="00BF717E">
        <w:rPr>
          <w:rFonts w:ascii="Tahoma" w:hAnsi="Tahoma" w:cs="Tahoma"/>
          <w:snapToGrid w:val="0"/>
        </w:rPr>
        <w:t>1. ATP: 790/2009/EK rendelet</w:t>
      </w:r>
      <w:r>
        <w:rPr>
          <w:rFonts w:ascii="Tahoma" w:hAnsi="Tahoma" w:cs="Tahoma"/>
          <w:snapToGrid w:val="0"/>
        </w:rPr>
        <w:t xml:space="preserve">; </w:t>
      </w:r>
      <w:r w:rsidRPr="00BF717E">
        <w:rPr>
          <w:rFonts w:ascii="Tahoma" w:hAnsi="Tahoma" w:cs="Tahoma"/>
          <w:snapToGrid w:val="0"/>
        </w:rPr>
        <w:t>2. ATP: 286/2011/EK rendelet</w:t>
      </w:r>
      <w:r>
        <w:rPr>
          <w:rFonts w:ascii="Tahoma" w:hAnsi="Tahoma" w:cs="Tahoma"/>
          <w:snapToGrid w:val="0"/>
        </w:rPr>
        <w:t xml:space="preserve">; </w:t>
      </w:r>
      <w:r w:rsidRPr="00BF717E">
        <w:rPr>
          <w:rFonts w:ascii="Tahoma" w:hAnsi="Tahoma" w:cs="Tahoma"/>
          <w:snapToGrid w:val="0"/>
        </w:rPr>
        <w:t>3. ATP: 618/2012/EU rendelet</w:t>
      </w:r>
      <w:r>
        <w:rPr>
          <w:rFonts w:ascii="Tahoma" w:hAnsi="Tahoma" w:cs="Tahoma"/>
          <w:snapToGrid w:val="0"/>
        </w:rPr>
        <w:t xml:space="preserve">; </w:t>
      </w:r>
      <w:r w:rsidRPr="00BF717E">
        <w:rPr>
          <w:rFonts w:ascii="Tahoma" w:hAnsi="Tahoma" w:cs="Tahoma"/>
          <w:snapToGrid w:val="0"/>
        </w:rPr>
        <w:t>4. ATP</w:t>
      </w:r>
      <w:r>
        <w:rPr>
          <w:rFonts w:ascii="Tahoma" w:hAnsi="Tahoma" w:cs="Tahoma"/>
          <w:snapToGrid w:val="0"/>
        </w:rPr>
        <w:t>:</w:t>
      </w:r>
      <w:r w:rsidRPr="00BF717E">
        <w:rPr>
          <w:rFonts w:ascii="Tahoma" w:hAnsi="Tahoma" w:cs="Tahoma"/>
          <w:snapToGrid w:val="0"/>
        </w:rPr>
        <w:t xml:space="preserve"> 487/2013/EU rendelet</w:t>
      </w:r>
      <w:r>
        <w:rPr>
          <w:rFonts w:ascii="Tahoma" w:hAnsi="Tahoma" w:cs="Tahoma"/>
          <w:snapToGrid w:val="0"/>
        </w:rPr>
        <w:t xml:space="preserve">; </w:t>
      </w:r>
      <w:r w:rsidRPr="00BF717E">
        <w:rPr>
          <w:rFonts w:ascii="Tahoma" w:hAnsi="Tahoma" w:cs="Tahoma"/>
          <w:snapToGrid w:val="0"/>
        </w:rPr>
        <w:t>5. ATP: 944/2013/EU rendelet</w:t>
      </w:r>
      <w:r>
        <w:rPr>
          <w:rFonts w:ascii="Tahoma" w:hAnsi="Tahoma" w:cs="Tahoma"/>
          <w:snapToGrid w:val="0"/>
        </w:rPr>
        <w:t xml:space="preserve">; </w:t>
      </w:r>
      <w:r w:rsidRPr="00BF717E">
        <w:rPr>
          <w:rFonts w:ascii="Tahoma" w:hAnsi="Tahoma" w:cs="Tahoma"/>
          <w:snapToGrid w:val="0"/>
        </w:rPr>
        <w:t>6. ATP: 605/2014/EU rendelet</w:t>
      </w:r>
      <w:r>
        <w:rPr>
          <w:rFonts w:ascii="Tahoma" w:hAnsi="Tahoma" w:cs="Tahoma"/>
          <w:snapToGrid w:val="0"/>
        </w:rPr>
        <w:t xml:space="preserve">; </w:t>
      </w:r>
      <w:r w:rsidRPr="00BF717E">
        <w:rPr>
          <w:rFonts w:ascii="Tahoma" w:hAnsi="Tahoma" w:cs="Tahoma"/>
          <w:snapToGrid w:val="0"/>
        </w:rPr>
        <w:t>7. ATP: 2015/1221/EU rendelet</w:t>
      </w:r>
      <w:r>
        <w:rPr>
          <w:rFonts w:ascii="Tahoma" w:hAnsi="Tahoma" w:cs="Tahoma"/>
          <w:snapToGrid w:val="0"/>
        </w:rPr>
        <w:t>; 8. ATP: 2016/918/EU rendelet; 9. ATP: 2016/1179/EU rendelet</w:t>
      </w:r>
    </w:p>
    <w:p w:rsidR="00EF0EE7" w:rsidRPr="005449DD" w:rsidRDefault="00EF0EE7" w:rsidP="002019A6">
      <w:pPr>
        <w:pStyle w:val="BodyTextIndent"/>
        <w:spacing w:before="40"/>
        <w:ind w:left="0"/>
      </w:pPr>
      <w:r w:rsidRPr="005449DD">
        <w:t>98/24/EK irányelve a munkájuk során vegyi anyagokkal kapcsolatos kockázatoknak kitett munkavállalók egészségének, biztonságának védelméről</w:t>
      </w:r>
    </w:p>
    <w:p w:rsidR="00EF0EE7" w:rsidRDefault="00EF0EE7" w:rsidP="002019A6">
      <w:pPr>
        <w:pStyle w:val="BodyTextIndent"/>
        <w:spacing w:before="40"/>
        <w:ind w:left="0"/>
      </w:pPr>
      <w:r w:rsidRPr="009F775C">
        <w:t>Tisztítószer-rendelet: 648/2004/EK és módosításai</w:t>
      </w:r>
    </w:p>
    <w:p w:rsidR="00EF0EE7" w:rsidRPr="009F775C" w:rsidRDefault="00EF0EE7" w:rsidP="002019A6">
      <w:pPr>
        <w:pStyle w:val="BodyTextIndent"/>
        <w:widowControl w:val="0"/>
        <w:spacing w:before="120"/>
        <w:ind w:left="0"/>
        <w:rPr>
          <w:b/>
          <w:bCs/>
        </w:rPr>
      </w:pPr>
      <w:r w:rsidRPr="009F775C">
        <w:rPr>
          <w:b/>
          <w:bCs/>
        </w:rPr>
        <w:t>Vonatkozó nemzeti joganyagok</w:t>
      </w:r>
    </w:p>
    <w:p w:rsidR="00EF0EE7" w:rsidRPr="009F775C" w:rsidRDefault="00EF0EE7" w:rsidP="002019A6">
      <w:pPr>
        <w:pStyle w:val="BodyTextIndent"/>
        <w:ind w:left="1701" w:hanging="1701"/>
      </w:pPr>
      <w:r w:rsidRPr="009F775C">
        <w:t>Tisztítószerek:</w:t>
      </w:r>
      <w:r w:rsidRPr="009F775C">
        <w:tab/>
        <w:t>270/2005. (XII.15.) Korm. rendelet a mosó- és tisztítószerek hatóanyagai biológiai lebonthatóságának ellenőrzéséről és az információszolgáltatás rendjéről;</w:t>
      </w:r>
    </w:p>
    <w:p w:rsidR="00EF0EE7" w:rsidRPr="009F775C" w:rsidRDefault="00EF0EE7" w:rsidP="002019A6">
      <w:pPr>
        <w:pStyle w:val="BodyTextIndent"/>
        <w:ind w:left="1701"/>
      </w:pPr>
      <w:r w:rsidRPr="009F775C">
        <w:t>329/2012. (XI.16.) Korm. rendelet a mosó- és tisztítószerek forgalombahozatalának feltételeiről és az ellenőrzés rendjéről;</w:t>
      </w:r>
    </w:p>
    <w:p w:rsidR="00EF0EE7" w:rsidRPr="009F775C" w:rsidRDefault="00EF0EE7" w:rsidP="002019A6">
      <w:pPr>
        <w:pStyle w:val="BodyTextIndent"/>
        <w:ind w:left="1701" w:hanging="1701"/>
      </w:pPr>
      <w:r w:rsidRPr="009F775C">
        <w:t>Munkavédelem:</w:t>
      </w:r>
      <w:r w:rsidRPr="009F775C">
        <w:tab/>
        <w:t>az 1993. évi XCIII. törvény a munkavédelemről; 25/2000. (IX.30.) EüM-SzCsM együttes rendelet a munkahelyek kémiai biztonságáról; 33/1998. (VI.24.) NM rendelet a munkaköri, szakmai, illetve személyi higiénés alkalmasság orvosi vizsgálatáról és véleményezéséről; 3/2002. (II.8.) SzCsM-EüM együttes rendelet a munkahelyek munkavédelmi követelményeinek minimális szintjéről;</w:t>
      </w:r>
    </w:p>
    <w:p w:rsidR="00EF0EE7" w:rsidRPr="009F775C" w:rsidRDefault="00EF0EE7" w:rsidP="002019A6">
      <w:pPr>
        <w:pStyle w:val="BodyTextIndent"/>
        <w:ind w:left="1701" w:hanging="1701"/>
      </w:pPr>
      <w:r w:rsidRPr="009F775C">
        <w:t>Kémiai biztonság:</w:t>
      </w:r>
      <w:r w:rsidRPr="009F775C">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EF0EE7" w:rsidRPr="009F775C" w:rsidRDefault="00EF0EE7" w:rsidP="002019A6">
      <w:pPr>
        <w:pStyle w:val="BodyTextIndent"/>
        <w:tabs>
          <w:tab w:val="left" w:pos="1418"/>
        </w:tabs>
        <w:spacing w:before="40"/>
        <w:ind w:left="1701" w:hanging="1701"/>
      </w:pPr>
      <w:r w:rsidRPr="009F775C">
        <w:rPr>
          <w:spacing w:val="-6"/>
        </w:rPr>
        <w:t>Környezetvédelem:</w:t>
      </w:r>
      <w:r w:rsidRPr="009F775C">
        <w:tab/>
        <w:t>1995. évi LIII. törvény a környezet védelmének általános szabályairól; 2012. évi CLXXXV. törvény a hulladékokról; 225/2015. (VIII.7.) Korm. rendelet a veszélyes hulladékkal kapcsolatos egyes tevékenységek részletes szabályairól; 72/2013. (VIII.27.) VM rendelet a hulladék jegyzékről;</w:t>
      </w:r>
    </w:p>
    <w:p w:rsidR="00EF0EE7" w:rsidRPr="009F775C" w:rsidRDefault="00EF0EE7" w:rsidP="002019A6">
      <w:pPr>
        <w:pStyle w:val="BodyTextIndent"/>
        <w:widowControl w:val="0"/>
        <w:ind w:left="1701" w:hanging="1701"/>
      </w:pPr>
      <w:r w:rsidRPr="009F775C">
        <w:t>Tűzvédelem:</w:t>
      </w:r>
      <w:r w:rsidRPr="009F775C">
        <w:tab/>
        <w:t>az 1996. évi XXXI. törvény a tűz elleni védekezésről, a műszaki mentésről és a tűzoltóságról; az 54/2014. (XII.5.) BM rendelet az Országos Tűzvédelmi Szabályzatról.</w:t>
      </w:r>
    </w:p>
    <w:p w:rsidR="00EF0EE7" w:rsidRPr="009F775C" w:rsidRDefault="00EF0EE7" w:rsidP="002019A6">
      <w:pPr>
        <w:pStyle w:val="BodyTextIndent"/>
        <w:widowControl w:val="0"/>
        <w:spacing w:before="120"/>
        <w:ind w:left="0"/>
        <w:jc w:val="left"/>
      </w:pPr>
      <w:r w:rsidRPr="009F775C">
        <w:rPr>
          <w:b/>
          <w:bCs/>
        </w:rPr>
        <w:t>15.2. Kémiai biztonsági értékelés:</w:t>
      </w:r>
      <w:r w:rsidRPr="009F775C">
        <w:t xml:space="preserve"> nem készült.</w:t>
      </w:r>
    </w:p>
    <w:p w:rsidR="00EF0EE7" w:rsidRDefault="00EF0EE7"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EF0EE7" w:rsidRDefault="00EF0EE7" w:rsidP="005D6C4F">
      <w:pPr>
        <w:pStyle w:val="BodyTextIndent"/>
        <w:spacing w:before="0"/>
        <w:ind w:left="0"/>
      </w:pPr>
      <w:r w:rsidRPr="00EC0BAC">
        <w:t xml:space="preserve">Az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teljes felelősség a felhasználót terheli. </w:t>
      </w:r>
    </w:p>
    <w:p w:rsidR="00EF0EE7" w:rsidRDefault="00EF0EE7" w:rsidP="005D6C4F">
      <w:pPr>
        <w:pStyle w:val="BodyTextIndent"/>
        <w:spacing w:before="0"/>
        <w:ind w:left="0"/>
      </w:pPr>
      <w:r w:rsidRPr="00EC0BAC">
        <w:t>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t xml:space="preserve"> </w:t>
      </w:r>
      <w:r w:rsidRPr="00EC0BAC">
        <w:t>A felhasználó saját felelősségére dönt az említett információk alkalmazásáról, a termék felhasználásáról. Az adatlap nem jelenti bármilyen jogi kötelezettség vagy felelősség vállalását a helytelen használatból adódó következményekért.</w:t>
      </w:r>
    </w:p>
    <w:p w:rsidR="00EF0EE7" w:rsidRDefault="00EF0EE7" w:rsidP="00D369CD">
      <w:pPr>
        <w:pStyle w:val="BodyTextIndent"/>
        <w:ind w:left="0"/>
        <w:rPr>
          <w:b/>
          <w:bCs/>
        </w:rPr>
      </w:pPr>
      <w:r>
        <w:rPr>
          <w:b/>
          <w:bCs/>
        </w:rPr>
        <w:t xml:space="preserve">A 2. és a </w:t>
      </w:r>
      <w:r w:rsidRPr="003C3065">
        <w:rPr>
          <w:b/>
          <w:bCs/>
        </w:rPr>
        <w:t xml:space="preserve">3. szakaszában szereplő </w:t>
      </w:r>
      <w:r>
        <w:rPr>
          <w:b/>
          <w:bCs/>
        </w:rPr>
        <w:t>rövidítések és H-</w:t>
      </w:r>
      <w:r w:rsidRPr="003C3065">
        <w:rPr>
          <w:b/>
          <w:bCs/>
        </w:rPr>
        <w:t>mondatok</w:t>
      </w:r>
      <w:r>
        <w:rPr>
          <w:b/>
          <w:bCs/>
        </w:rPr>
        <w:t xml:space="preserve"> szövege</w:t>
      </w:r>
      <w:r w:rsidRPr="003C3065">
        <w:rPr>
          <w:b/>
          <w:bCs/>
        </w:rPr>
        <w:t>:</w:t>
      </w:r>
    </w:p>
    <w:p w:rsidR="00EF0EE7" w:rsidRDefault="00EF0EE7" w:rsidP="00E63806">
      <w:pPr>
        <w:pStyle w:val="BodyTextIndent"/>
        <w:tabs>
          <w:tab w:val="left" w:pos="1134"/>
        </w:tabs>
        <w:spacing w:before="0"/>
        <w:ind w:left="0"/>
      </w:pPr>
      <w:r>
        <w:t>M</w:t>
      </w:r>
      <w:r w:rsidRPr="00824369">
        <w:rPr>
          <w:vertAlign w:val="subscript"/>
        </w:rPr>
        <w:t>(akut)</w:t>
      </w:r>
      <w:r>
        <w:t>: M-tényező az akut vízi toxicitásra vonatkozólag</w:t>
      </w:r>
    </w:p>
    <w:p w:rsidR="00EF0EE7" w:rsidRDefault="00EF0EE7" w:rsidP="00E63806">
      <w:pPr>
        <w:pStyle w:val="BodyTextIndent"/>
        <w:tabs>
          <w:tab w:val="left" w:pos="1134"/>
        </w:tabs>
        <w:spacing w:before="0"/>
        <w:ind w:left="0"/>
      </w:pPr>
      <w:r>
        <w:t>PBT: perzisztens, bioakkumulatív, toxikus; vPvB: nagyon perzisztens, nagyon bioakkumulatív</w:t>
      </w:r>
    </w:p>
    <w:p w:rsidR="00EF0EE7" w:rsidRPr="006B2FFA" w:rsidRDefault="00EF0EE7" w:rsidP="00E63806">
      <w:pPr>
        <w:tabs>
          <w:tab w:val="left" w:pos="1100"/>
        </w:tabs>
        <w:spacing w:before="120"/>
        <w:jc w:val="both"/>
        <w:rPr>
          <w:rFonts w:ascii="Tahoma" w:hAnsi="Tahoma" w:cs="Tahoma"/>
          <w:snapToGrid w:val="0"/>
        </w:rPr>
      </w:pPr>
      <w:r w:rsidRPr="00B26C47">
        <w:rPr>
          <w:rFonts w:ascii="Tahoma" w:hAnsi="Tahoma" w:cs="Tahoma"/>
          <w:snapToGrid w:val="0"/>
        </w:rPr>
        <w:t>A veszély</w:t>
      </w:r>
      <w:r>
        <w:rPr>
          <w:rFonts w:ascii="Tahoma" w:hAnsi="Tahoma" w:cs="Tahoma"/>
          <w:snapToGrid w:val="0"/>
        </w:rPr>
        <w:t xml:space="preserve">ességi </w:t>
      </w:r>
      <w:r w:rsidRPr="00B26C47">
        <w:rPr>
          <w:rFonts w:ascii="Tahoma" w:hAnsi="Tahoma" w:cs="Tahoma"/>
          <w:snapToGrid w:val="0"/>
        </w:rPr>
        <w:t>osztályok rövidítései, a rövidítések utáni (1-4) számok, az osztályon belüli kategóriát</w:t>
      </w:r>
      <w:r w:rsidRPr="006B2FFA">
        <w:rPr>
          <w:rFonts w:ascii="Tahoma" w:hAnsi="Tahoma" w:cs="Tahoma"/>
          <w:snapToGrid w:val="0"/>
        </w:rPr>
        <w:t xml:space="preserve"> jelölik meg, a nagyobb számok kisebb veszélyt jelentenek: </w:t>
      </w:r>
      <w:r>
        <w:rPr>
          <w:rFonts w:ascii="Tahoma" w:hAnsi="Tahoma" w:cs="Tahoma"/>
          <w:snapToGrid w:val="0"/>
        </w:rPr>
        <w:t xml:space="preserve">Acute Tox.: akut toxicitás; oral: szájon át; </w:t>
      </w:r>
      <w:r>
        <w:rPr>
          <w:rFonts w:ascii="Tahoma" w:hAnsi="Tahoma" w:cs="Tahoma"/>
          <w:snapToGrid w:val="0"/>
        </w:rPr>
        <w:br/>
        <w:t xml:space="preserve">Skin Irrit.: bőrirritáció; Eye Irrit.: szemirritáció; Eye Dam.: súlyos szemkárosodás; Aquatic Acute: vízi környezetre veszélyes, akut veszélyt jelent. </w:t>
      </w:r>
    </w:p>
    <w:p w:rsidR="00EF0EE7" w:rsidRPr="00B26C47" w:rsidRDefault="00EF0EE7" w:rsidP="00B26C47">
      <w:pPr>
        <w:tabs>
          <w:tab w:val="left" w:pos="1276"/>
        </w:tabs>
        <w:ind w:firstLine="426"/>
        <w:jc w:val="both"/>
        <w:rPr>
          <w:rFonts w:ascii="Tahoma" w:hAnsi="Tahoma" w:cs="Tahoma"/>
          <w:snapToGrid w:val="0"/>
        </w:rPr>
      </w:pPr>
      <w:r w:rsidRPr="00B26C47">
        <w:rPr>
          <w:rFonts w:ascii="Tahoma" w:hAnsi="Tahoma" w:cs="Tahoma"/>
          <w:snapToGrid w:val="0"/>
        </w:rPr>
        <w:t>H302</w:t>
      </w:r>
      <w:r w:rsidRPr="00B26C47">
        <w:rPr>
          <w:rFonts w:ascii="Tahoma" w:hAnsi="Tahoma" w:cs="Tahoma"/>
          <w:snapToGrid w:val="0"/>
        </w:rPr>
        <w:tab/>
        <w:t>Lenyelve ártalmas.</w:t>
      </w:r>
    </w:p>
    <w:p w:rsidR="00EF0EE7" w:rsidRPr="00B26C47" w:rsidRDefault="00EF0EE7" w:rsidP="00B26C47">
      <w:pPr>
        <w:tabs>
          <w:tab w:val="left" w:pos="1276"/>
        </w:tabs>
        <w:ind w:firstLine="426"/>
        <w:jc w:val="both"/>
        <w:rPr>
          <w:rFonts w:ascii="Tahoma" w:hAnsi="Tahoma" w:cs="Tahoma"/>
          <w:snapToGrid w:val="0"/>
        </w:rPr>
      </w:pPr>
      <w:r w:rsidRPr="00B26C47">
        <w:rPr>
          <w:rFonts w:ascii="Tahoma" w:hAnsi="Tahoma" w:cs="Tahoma"/>
          <w:snapToGrid w:val="0"/>
        </w:rPr>
        <w:t>H315</w:t>
      </w:r>
      <w:r w:rsidRPr="00B26C47">
        <w:rPr>
          <w:rFonts w:ascii="Tahoma" w:hAnsi="Tahoma" w:cs="Tahoma"/>
          <w:snapToGrid w:val="0"/>
        </w:rPr>
        <w:tab/>
        <w:t>Bőrirritáló hatású.</w:t>
      </w:r>
    </w:p>
    <w:p w:rsidR="00EF0EE7" w:rsidRDefault="00EF0EE7" w:rsidP="000564A5">
      <w:pPr>
        <w:tabs>
          <w:tab w:val="left" w:pos="1276"/>
        </w:tabs>
        <w:ind w:firstLine="426"/>
        <w:jc w:val="both"/>
        <w:rPr>
          <w:rFonts w:ascii="Tahoma" w:hAnsi="Tahoma" w:cs="Tahoma"/>
          <w:snapToGrid w:val="0"/>
        </w:rPr>
      </w:pPr>
      <w:r w:rsidRPr="000564A5">
        <w:rPr>
          <w:rFonts w:ascii="Tahoma" w:hAnsi="Tahoma" w:cs="Tahoma"/>
          <w:snapToGrid w:val="0"/>
        </w:rPr>
        <w:t>H319</w:t>
      </w:r>
      <w:r w:rsidRPr="000564A5">
        <w:rPr>
          <w:rFonts w:ascii="Tahoma" w:hAnsi="Tahoma" w:cs="Tahoma"/>
          <w:snapToGrid w:val="0"/>
        </w:rPr>
        <w:tab/>
        <w:t>Súlyos szemirritációt okoz.</w:t>
      </w:r>
    </w:p>
    <w:p w:rsidR="00EF0EE7" w:rsidRPr="00B26C47" w:rsidRDefault="00EF0EE7" w:rsidP="00B26C47">
      <w:pPr>
        <w:tabs>
          <w:tab w:val="left" w:pos="1276"/>
        </w:tabs>
        <w:ind w:firstLine="426"/>
        <w:jc w:val="both"/>
        <w:rPr>
          <w:rFonts w:ascii="Tahoma" w:hAnsi="Tahoma" w:cs="Tahoma"/>
          <w:snapToGrid w:val="0"/>
        </w:rPr>
      </w:pPr>
      <w:r w:rsidRPr="00B26C47">
        <w:rPr>
          <w:rFonts w:ascii="Tahoma" w:hAnsi="Tahoma" w:cs="Tahoma"/>
          <w:snapToGrid w:val="0"/>
        </w:rPr>
        <w:t>H318</w:t>
      </w:r>
      <w:r w:rsidRPr="00B26C47">
        <w:rPr>
          <w:rFonts w:ascii="Tahoma" w:hAnsi="Tahoma" w:cs="Tahoma"/>
          <w:snapToGrid w:val="0"/>
        </w:rPr>
        <w:tab/>
        <w:t>Súlyos szemkárosodást okoz.</w:t>
      </w:r>
    </w:p>
    <w:p w:rsidR="00EF0EE7" w:rsidRPr="00B26C47" w:rsidRDefault="00EF0EE7" w:rsidP="00B26C47">
      <w:pPr>
        <w:tabs>
          <w:tab w:val="left" w:pos="1276"/>
        </w:tabs>
        <w:ind w:firstLine="426"/>
        <w:jc w:val="both"/>
        <w:rPr>
          <w:rFonts w:ascii="Tahoma" w:hAnsi="Tahoma" w:cs="Tahoma"/>
          <w:snapToGrid w:val="0"/>
        </w:rPr>
      </w:pPr>
      <w:r w:rsidRPr="00B26C47">
        <w:rPr>
          <w:rFonts w:ascii="Tahoma" w:hAnsi="Tahoma" w:cs="Tahoma"/>
          <w:snapToGrid w:val="0"/>
        </w:rPr>
        <w:t>H400</w:t>
      </w:r>
      <w:r w:rsidRPr="00B26C47">
        <w:rPr>
          <w:rFonts w:ascii="Tahoma" w:hAnsi="Tahoma" w:cs="Tahoma"/>
          <w:snapToGrid w:val="0"/>
        </w:rPr>
        <w:tab/>
        <w:t>Nagyon mérgező a vízi élővilágra.</w:t>
      </w:r>
    </w:p>
    <w:p w:rsidR="00EF0EE7" w:rsidRPr="006553AB" w:rsidRDefault="00EF0EE7" w:rsidP="005457A7">
      <w:pPr>
        <w:tabs>
          <w:tab w:val="left" w:pos="0"/>
          <w:tab w:val="left" w:pos="1134"/>
        </w:tabs>
        <w:autoSpaceDE w:val="0"/>
        <w:autoSpaceDN w:val="0"/>
        <w:adjustRightInd w:val="0"/>
        <w:spacing w:before="120"/>
        <w:jc w:val="both"/>
        <w:rPr>
          <w:sz w:val="18"/>
          <w:szCs w:val="18"/>
        </w:rPr>
      </w:pPr>
      <w:r w:rsidRPr="007C3FA9">
        <w:rPr>
          <w:rFonts w:ascii="Tahoma" w:hAnsi="Tahoma" w:cs="Tahoma"/>
          <w:b/>
          <w:bCs/>
          <w:snapToGrid w:val="0"/>
        </w:rPr>
        <w:t>Adatlaptörténet:</w:t>
      </w:r>
      <w:r>
        <w:rPr>
          <w:rFonts w:ascii="Tahoma" w:hAnsi="Tahoma" w:cs="Tahoma"/>
          <w:snapToGrid w:val="0"/>
        </w:rPr>
        <w:t xml:space="preserve"> a biztonsági adatlap 1.0-HU verziója a gyártó adatai és az összetevők biztonsági adatlapja alapján készült</w:t>
      </w:r>
      <w:r w:rsidRPr="007C3FA9">
        <w:rPr>
          <w:rFonts w:ascii="Tahoma" w:hAnsi="Tahoma" w:cs="Tahoma"/>
          <w:snapToGrid w:val="0"/>
        </w:rPr>
        <w:t xml:space="preserve"> 201</w:t>
      </w:r>
      <w:r>
        <w:rPr>
          <w:rFonts w:ascii="Tahoma" w:hAnsi="Tahoma" w:cs="Tahoma"/>
          <w:snapToGrid w:val="0"/>
        </w:rPr>
        <w:t>7. március 14-én.</w:t>
      </w:r>
    </w:p>
    <w:p w:rsidR="00EF0EE7" w:rsidRPr="006553AB" w:rsidRDefault="00EF0EE7" w:rsidP="005D6C4F">
      <w:pPr>
        <w:tabs>
          <w:tab w:val="left" w:pos="0"/>
          <w:tab w:val="left" w:pos="1134"/>
        </w:tabs>
        <w:autoSpaceDE w:val="0"/>
        <w:autoSpaceDN w:val="0"/>
        <w:adjustRightInd w:val="0"/>
        <w:spacing w:before="120"/>
        <w:jc w:val="both"/>
        <w:rPr>
          <w:sz w:val="18"/>
          <w:szCs w:val="18"/>
        </w:rPr>
      </w:pPr>
    </w:p>
    <w:sectPr w:rsidR="00EF0EE7" w:rsidRPr="006553AB" w:rsidSect="00867F7E">
      <w:headerReference w:type="default" r:id="rId9"/>
      <w:pgSz w:w="11906" w:h="16838" w:code="9"/>
      <w:pgMar w:top="1417" w:right="1417" w:bottom="1417" w:left="1417"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EE7" w:rsidRDefault="00EF0EE7">
      <w:r>
        <w:separator/>
      </w:r>
    </w:p>
  </w:endnote>
  <w:endnote w:type="continuationSeparator" w:id="0">
    <w:p w:rsidR="00EF0EE7" w:rsidRDefault="00EF0E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EE7" w:rsidRDefault="00EF0EE7">
      <w:r>
        <w:separator/>
      </w:r>
    </w:p>
  </w:footnote>
  <w:footnote w:type="continuationSeparator" w:id="0">
    <w:p w:rsidR="00EF0EE7" w:rsidRDefault="00EF0EE7">
      <w:r>
        <w:continuationSeparator/>
      </w:r>
    </w:p>
  </w:footnote>
  <w:footnote w:id="1">
    <w:p w:rsidR="00EF0EE7" w:rsidRDefault="00EF0EE7" w:rsidP="00B5250F">
      <w:pPr>
        <w:pStyle w:val="FootnoteText"/>
      </w:pPr>
      <w:r>
        <w:rPr>
          <w:rStyle w:val="FootnoteReference"/>
        </w:rPr>
        <w:footnoteRef/>
      </w:r>
      <w:r>
        <w:t xml:space="preserve"> </w:t>
      </w:r>
      <w:r w:rsidRPr="0062652A">
        <w:rPr>
          <w:rFonts w:ascii="Tahoma" w:hAnsi="Tahoma" w:cs="Tahoma"/>
          <w:sz w:val="16"/>
          <w:szCs w:val="16"/>
        </w:rPr>
        <w:t>Nagyobb szám, kisebb veszélyt jelent</w:t>
      </w:r>
      <w:r>
        <w:rPr>
          <w:rFonts w:ascii="Tahoma" w:hAnsi="Tahoma" w:cs="Tahoma"/>
          <w:sz w:val="16"/>
          <w:szCs w:val="16"/>
        </w:rPr>
        <w:t>.</w:t>
      </w:r>
    </w:p>
  </w:footnote>
  <w:footnote w:id="2">
    <w:p w:rsidR="00EF0EE7" w:rsidRDefault="00EF0EE7">
      <w:pPr>
        <w:pStyle w:val="FootnoteText"/>
      </w:pPr>
      <w:r w:rsidRPr="007271C0">
        <w:rPr>
          <w:rStyle w:val="FootnoteReference"/>
          <w:rFonts w:ascii="Tahoma" w:hAnsi="Tahoma" w:cs="Tahoma"/>
          <w:sz w:val="18"/>
          <w:szCs w:val="18"/>
        </w:rPr>
        <w:footnoteRef/>
      </w:r>
      <w:r w:rsidRPr="007271C0">
        <w:rPr>
          <w:rFonts w:ascii="Tahoma" w:hAnsi="Tahoma" w:cs="Tahoma"/>
          <w:sz w:val="18"/>
          <w:szCs w:val="18"/>
        </w:rPr>
        <w:t xml:space="preserve"> Egyéb név: amidoszulfonsav, szul</w:t>
      </w:r>
      <w:r>
        <w:rPr>
          <w:rFonts w:ascii="Tahoma" w:hAnsi="Tahoma" w:cs="Tahoma"/>
          <w:sz w:val="18"/>
          <w:szCs w:val="18"/>
        </w:rPr>
        <w:t>f</w:t>
      </w:r>
      <w:r w:rsidRPr="007271C0">
        <w:rPr>
          <w:rFonts w:ascii="Tahoma" w:hAnsi="Tahoma" w:cs="Tahoma"/>
          <w:sz w:val="18"/>
          <w:szCs w:val="18"/>
        </w:rPr>
        <w:t>amidsav</w:t>
      </w:r>
    </w:p>
  </w:footnote>
  <w:footnote w:id="3">
    <w:p w:rsidR="00EF0EE7" w:rsidRDefault="00EF0EE7">
      <w:pPr>
        <w:pStyle w:val="FootnoteText"/>
      </w:pPr>
      <w:r w:rsidRPr="007271C0">
        <w:rPr>
          <w:rStyle w:val="FootnoteReference"/>
          <w:rFonts w:ascii="Tahoma" w:hAnsi="Tahoma" w:cs="Tahoma"/>
          <w:sz w:val="18"/>
          <w:szCs w:val="18"/>
        </w:rPr>
        <w:footnoteRef/>
      </w:r>
      <w:r w:rsidRPr="007271C0">
        <w:rPr>
          <w:rFonts w:ascii="Tahoma" w:hAnsi="Tahoma" w:cs="Tahoma"/>
          <w:sz w:val="18"/>
          <w:szCs w:val="18"/>
        </w:rPr>
        <w:t xml:space="preserve"> Egyéb név: mirisztamin-oxid</w:t>
      </w:r>
    </w:p>
  </w:footnote>
  <w:footnote w:id="4">
    <w:p w:rsidR="00EF0EE7" w:rsidRDefault="00EF0EE7" w:rsidP="00FD3178">
      <w:pPr>
        <w:pStyle w:val="FootnoteText"/>
        <w:tabs>
          <w:tab w:val="left" w:pos="142"/>
          <w:tab w:val="left" w:pos="567"/>
        </w:tabs>
      </w:pPr>
      <w:r w:rsidRPr="001046F4">
        <w:rPr>
          <w:rStyle w:val="FootnoteReference"/>
          <w:sz w:val="16"/>
          <w:szCs w:val="16"/>
        </w:rPr>
        <w:footnoteRef/>
      </w:r>
      <w:r w:rsidRPr="001046F4">
        <w:rPr>
          <w:rFonts w:ascii="Tahoma" w:hAnsi="Tahoma" w:cs="Tahoma"/>
          <w:sz w:val="16"/>
          <w:szCs w:val="16"/>
        </w:rPr>
        <w:t xml:space="preserve"> DNEL - DERIVED NO EFFECT LEVEL - a származtatott hatásmentes humán-expozíció szintje</w:t>
      </w:r>
    </w:p>
  </w:footnote>
  <w:footnote w:id="5">
    <w:p w:rsidR="00EF0EE7" w:rsidRDefault="00EF0EE7" w:rsidP="00EA67AC">
      <w:pPr>
        <w:pStyle w:val="FootnoteText"/>
        <w:ind w:left="709" w:hanging="709"/>
      </w:pPr>
      <w:r w:rsidRPr="001046F4">
        <w:rPr>
          <w:rStyle w:val="FootnoteReference"/>
          <w:sz w:val="16"/>
          <w:szCs w:val="16"/>
        </w:rPr>
        <w:footnoteRef/>
      </w:r>
      <w:r w:rsidRPr="001046F4">
        <w:rPr>
          <w:rFonts w:ascii="Tahoma" w:hAnsi="Tahoma" w:cs="Tahoma"/>
          <w:sz w:val="16"/>
          <w:szCs w:val="16"/>
        </w:rPr>
        <w:t xml:space="preserve"> PNEC - PREDICTED NO EFFECT CONCENTRATION - 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EE7" w:rsidRDefault="00EF0EE7"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Just WC tisztító gél – ocean fresh</w:t>
    </w:r>
    <w:r>
      <w:rPr>
        <w:rFonts w:ascii="Tahoma" w:hAnsi="Tahoma" w:cs="Tahoma"/>
        <w:noProof/>
        <w:sz w:val="14"/>
        <w:szCs w:val="14"/>
      </w:rPr>
      <w:tab/>
    </w:r>
  </w:p>
  <w:p w:rsidR="00EF0EE7" w:rsidRDefault="00EF0EE7"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EF0EE7" w:rsidRDefault="00EF0EE7"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Készült: 2017. március 14.</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1</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cs="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cs="Wingdings" w:hint="default"/>
      </w:rPr>
    </w:lvl>
    <w:lvl w:ilvl="3" w:tplc="040E0001">
      <w:start w:val="1"/>
      <w:numFmt w:val="bullet"/>
      <w:lvlText w:val=""/>
      <w:lvlJc w:val="left"/>
      <w:pPr>
        <w:ind w:left="2804" w:hanging="360"/>
      </w:pPr>
      <w:rPr>
        <w:rFonts w:ascii="Symbol" w:hAnsi="Symbol" w:cs="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cs="Wingdings" w:hint="default"/>
      </w:rPr>
    </w:lvl>
    <w:lvl w:ilvl="6" w:tplc="040E0001">
      <w:start w:val="1"/>
      <w:numFmt w:val="bullet"/>
      <w:lvlText w:val=""/>
      <w:lvlJc w:val="left"/>
      <w:pPr>
        <w:ind w:left="4964" w:hanging="360"/>
      </w:pPr>
      <w:rPr>
        <w:rFonts w:ascii="Symbol" w:hAnsi="Symbol" w:cs="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cs="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cs="Symbol" w:hint="default"/>
        <w:color w:val="auto"/>
      </w:rPr>
    </w:lvl>
    <w:lvl w:ilvl="1" w:tplc="D750CBD8">
      <w:start w:val="1"/>
      <w:numFmt w:val="bullet"/>
      <w:lvlText w:val="o"/>
      <w:lvlJc w:val="left"/>
      <w:pPr>
        <w:tabs>
          <w:tab w:val="num" w:pos="1440"/>
        </w:tabs>
        <w:ind w:left="1440" w:hanging="360"/>
      </w:pPr>
      <w:rPr>
        <w:rFonts w:ascii="Courier New" w:hAnsi="Courier New" w:cs="Courier New" w:hint="default"/>
      </w:rPr>
    </w:lvl>
    <w:lvl w:ilvl="2" w:tplc="B9FC8C70">
      <w:start w:val="1"/>
      <w:numFmt w:val="bullet"/>
      <w:lvlText w:val=""/>
      <w:lvlJc w:val="left"/>
      <w:pPr>
        <w:tabs>
          <w:tab w:val="num" w:pos="2160"/>
        </w:tabs>
        <w:ind w:left="2160" w:hanging="360"/>
      </w:pPr>
      <w:rPr>
        <w:rFonts w:ascii="Wingdings" w:hAnsi="Wingdings" w:cs="Wingdings" w:hint="default"/>
      </w:rPr>
    </w:lvl>
    <w:lvl w:ilvl="3" w:tplc="222A0634">
      <w:start w:val="1"/>
      <w:numFmt w:val="bullet"/>
      <w:lvlText w:val=""/>
      <w:lvlJc w:val="left"/>
      <w:pPr>
        <w:tabs>
          <w:tab w:val="num" w:pos="2880"/>
        </w:tabs>
        <w:ind w:left="2880" w:hanging="360"/>
      </w:pPr>
      <w:rPr>
        <w:rFonts w:ascii="Symbol" w:hAnsi="Symbol" w:cs="Symbol" w:hint="default"/>
      </w:rPr>
    </w:lvl>
    <w:lvl w:ilvl="4" w:tplc="3EC8F028">
      <w:start w:val="1"/>
      <w:numFmt w:val="bullet"/>
      <w:lvlText w:val="o"/>
      <w:lvlJc w:val="left"/>
      <w:pPr>
        <w:tabs>
          <w:tab w:val="num" w:pos="3600"/>
        </w:tabs>
        <w:ind w:left="3600" w:hanging="360"/>
      </w:pPr>
      <w:rPr>
        <w:rFonts w:ascii="Courier New" w:hAnsi="Courier New" w:cs="Courier New" w:hint="default"/>
      </w:rPr>
    </w:lvl>
    <w:lvl w:ilvl="5" w:tplc="B46C05FA">
      <w:start w:val="1"/>
      <w:numFmt w:val="bullet"/>
      <w:lvlText w:val=""/>
      <w:lvlJc w:val="left"/>
      <w:pPr>
        <w:tabs>
          <w:tab w:val="num" w:pos="4320"/>
        </w:tabs>
        <w:ind w:left="4320" w:hanging="360"/>
      </w:pPr>
      <w:rPr>
        <w:rFonts w:ascii="Wingdings" w:hAnsi="Wingdings" w:cs="Wingdings" w:hint="default"/>
      </w:rPr>
    </w:lvl>
    <w:lvl w:ilvl="6" w:tplc="807EDB54">
      <w:start w:val="1"/>
      <w:numFmt w:val="bullet"/>
      <w:lvlText w:val=""/>
      <w:lvlJc w:val="left"/>
      <w:pPr>
        <w:tabs>
          <w:tab w:val="num" w:pos="5040"/>
        </w:tabs>
        <w:ind w:left="5040" w:hanging="360"/>
      </w:pPr>
      <w:rPr>
        <w:rFonts w:ascii="Symbol" w:hAnsi="Symbol" w:cs="Symbol" w:hint="default"/>
      </w:rPr>
    </w:lvl>
    <w:lvl w:ilvl="7" w:tplc="C48E1924">
      <w:start w:val="1"/>
      <w:numFmt w:val="bullet"/>
      <w:lvlText w:val="o"/>
      <w:lvlJc w:val="left"/>
      <w:pPr>
        <w:tabs>
          <w:tab w:val="num" w:pos="5760"/>
        </w:tabs>
        <w:ind w:left="5760" w:hanging="360"/>
      </w:pPr>
      <w:rPr>
        <w:rFonts w:ascii="Courier New" w:hAnsi="Courier New" w:cs="Courier New" w:hint="default"/>
      </w:rPr>
    </w:lvl>
    <w:lvl w:ilvl="8" w:tplc="C0CE505C">
      <w:start w:val="1"/>
      <w:numFmt w:val="bullet"/>
      <w:lvlText w:val=""/>
      <w:lvlJc w:val="left"/>
      <w:pPr>
        <w:tabs>
          <w:tab w:val="num" w:pos="6480"/>
        </w:tabs>
        <w:ind w:left="6480" w:hanging="360"/>
      </w:pPr>
      <w:rPr>
        <w:rFonts w:ascii="Wingdings" w:hAnsi="Wingdings" w:cs="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cs="Symbol"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nsid w:val="25BC6499"/>
    <w:multiLevelType w:val="multilevel"/>
    <w:tmpl w:val="81A288E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cs="Courier New" w:hint="default"/>
      </w:rPr>
    </w:lvl>
    <w:lvl w:ilvl="1" w:tplc="440CF59A">
      <w:start w:val="1"/>
      <w:numFmt w:val="bullet"/>
      <w:lvlText w:val="o"/>
      <w:lvlJc w:val="left"/>
      <w:pPr>
        <w:tabs>
          <w:tab w:val="num" w:pos="1644"/>
        </w:tabs>
        <w:ind w:left="1644" w:hanging="360"/>
      </w:pPr>
      <w:rPr>
        <w:rFonts w:ascii="Courier New" w:hAnsi="Courier New" w:cs="Courier New" w:hint="default"/>
      </w:rPr>
    </w:lvl>
    <w:lvl w:ilvl="2" w:tplc="BCD82834">
      <w:start w:val="1"/>
      <w:numFmt w:val="bullet"/>
      <w:lvlText w:val=""/>
      <w:lvlJc w:val="left"/>
      <w:pPr>
        <w:tabs>
          <w:tab w:val="num" w:pos="2364"/>
        </w:tabs>
        <w:ind w:left="2364" w:hanging="360"/>
      </w:pPr>
      <w:rPr>
        <w:rFonts w:ascii="Wingdings" w:hAnsi="Wingdings" w:cs="Wingdings" w:hint="default"/>
      </w:rPr>
    </w:lvl>
    <w:lvl w:ilvl="3" w:tplc="BB28638E">
      <w:start w:val="1"/>
      <w:numFmt w:val="bullet"/>
      <w:lvlText w:val=""/>
      <w:lvlJc w:val="left"/>
      <w:pPr>
        <w:tabs>
          <w:tab w:val="num" w:pos="3084"/>
        </w:tabs>
        <w:ind w:left="3084" w:hanging="360"/>
      </w:pPr>
      <w:rPr>
        <w:rFonts w:ascii="Symbol" w:hAnsi="Symbol" w:cs="Symbol" w:hint="default"/>
      </w:rPr>
    </w:lvl>
    <w:lvl w:ilvl="4" w:tplc="CF824262">
      <w:start w:val="1"/>
      <w:numFmt w:val="bullet"/>
      <w:lvlText w:val="o"/>
      <w:lvlJc w:val="left"/>
      <w:pPr>
        <w:tabs>
          <w:tab w:val="num" w:pos="3804"/>
        </w:tabs>
        <w:ind w:left="3804" w:hanging="360"/>
      </w:pPr>
      <w:rPr>
        <w:rFonts w:ascii="Courier New" w:hAnsi="Courier New" w:cs="Courier New" w:hint="default"/>
      </w:rPr>
    </w:lvl>
    <w:lvl w:ilvl="5" w:tplc="39F4BB06">
      <w:start w:val="1"/>
      <w:numFmt w:val="bullet"/>
      <w:lvlText w:val=""/>
      <w:lvlJc w:val="left"/>
      <w:pPr>
        <w:tabs>
          <w:tab w:val="num" w:pos="4524"/>
        </w:tabs>
        <w:ind w:left="4524" w:hanging="360"/>
      </w:pPr>
      <w:rPr>
        <w:rFonts w:ascii="Wingdings" w:hAnsi="Wingdings" w:cs="Wingdings" w:hint="default"/>
      </w:rPr>
    </w:lvl>
    <w:lvl w:ilvl="6" w:tplc="8746327C">
      <w:start w:val="1"/>
      <w:numFmt w:val="bullet"/>
      <w:lvlText w:val=""/>
      <w:lvlJc w:val="left"/>
      <w:pPr>
        <w:tabs>
          <w:tab w:val="num" w:pos="5244"/>
        </w:tabs>
        <w:ind w:left="5244" w:hanging="360"/>
      </w:pPr>
      <w:rPr>
        <w:rFonts w:ascii="Symbol" w:hAnsi="Symbol" w:cs="Symbol" w:hint="default"/>
      </w:rPr>
    </w:lvl>
    <w:lvl w:ilvl="7" w:tplc="23C6B33A">
      <w:start w:val="1"/>
      <w:numFmt w:val="bullet"/>
      <w:lvlText w:val="o"/>
      <w:lvlJc w:val="left"/>
      <w:pPr>
        <w:tabs>
          <w:tab w:val="num" w:pos="5964"/>
        </w:tabs>
        <w:ind w:left="5964" w:hanging="360"/>
      </w:pPr>
      <w:rPr>
        <w:rFonts w:ascii="Courier New" w:hAnsi="Courier New" w:cs="Courier New" w:hint="default"/>
      </w:rPr>
    </w:lvl>
    <w:lvl w:ilvl="8" w:tplc="33DE2A9E">
      <w:start w:val="1"/>
      <w:numFmt w:val="bullet"/>
      <w:lvlText w:val=""/>
      <w:lvlJc w:val="left"/>
      <w:pPr>
        <w:tabs>
          <w:tab w:val="num" w:pos="6684"/>
        </w:tabs>
        <w:ind w:left="6684" w:hanging="360"/>
      </w:pPr>
      <w:rPr>
        <w:rFonts w:ascii="Wingdings" w:hAnsi="Wingdings" w:cs="Wingdings" w:hint="default"/>
      </w:rPr>
    </w:lvl>
  </w:abstractNum>
  <w:abstractNum w:abstractNumId="8">
    <w:nsid w:val="2F5F0885"/>
    <w:multiLevelType w:val="hybridMultilevel"/>
    <w:tmpl w:val="14D80E76"/>
    <w:lvl w:ilvl="0" w:tplc="DB9CA6F6">
      <w:start w:val="1"/>
      <w:numFmt w:val="bullet"/>
      <w:lvlText w:val=""/>
      <w:lvlJc w:val="left"/>
      <w:pPr>
        <w:tabs>
          <w:tab w:val="num" w:pos="360"/>
        </w:tabs>
        <w:ind w:left="360" w:hanging="360"/>
      </w:pPr>
      <w:rPr>
        <w:rFonts w:ascii="Symbol" w:hAnsi="Symbol" w:cs="Symbol" w:hint="default"/>
        <w:color w:val="auto"/>
      </w:rPr>
    </w:lvl>
    <w:lvl w:ilvl="1" w:tplc="D7EE3FD2">
      <w:start w:val="1"/>
      <w:numFmt w:val="bullet"/>
      <w:lvlText w:val="o"/>
      <w:lvlJc w:val="left"/>
      <w:pPr>
        <w:tabs>
          <w:tab w:val="num" w:pos="1440"/>
        </w:tabs>
        <w:ind w:left="1440" w:hanging="360"/>
      </w:pPr>
      <w:rPr>
        <w:rFonts w:ascii="Courier New" w:hAnsi="Courier New" w:cs="Courier New" w:hint="default"/>
      </w:rPr>
    </w:lvl>
    <w:lvl w:ilvl="2" w:tplc="A93273EE">
      <w:start w:val="1"/>
      <w:numFmt w:val="bullet"/>
      <w:lvlText w:val=""/>
      <w:lvlJc w:val="left"/>
      <w:pPr>
        <w:tabs>
          <w:tab w:val="num" w:pos="2160"/>
        </w:tabs>
        <w:ind w:left="2160" w:hanging="360"/>
      </w:pPr>
      <w:rPr>
        <w:rFonts w:ascii="Wingdings" w:hAnsi="Wingdings" w:cs="Wingdings" w:hint="default"/>
      </w:rPr>
    </w:lvl>
    <w:lvl w:ilvl="3" w:tplc="CB46D318">
      <w:start w:val="1"/>
      <w:numFmt w:val="bullet"/>
      <w:lvlText w:val=""/>
      <w:lvlJc w:val="left"/>
      <w:pPr>
        <w:tabs>
          <w:tab w:val="num" w:pos="2880"/>
        </w:tabs>
        <w:ind w:left="2880" w:hanging="360"/>
      </w:pPr>
      <w:rPr>
        <w:rFonts w:ascii="Symbol" w:hAnsi="Symbol" w:cs="Symbol" w:hint="default"/>
      </w:rPr>
    </w:lvl>
    <w:lvl w:ilvl="4" w:tplc="F59E6F6A">
      <w:start w:val="1"/>
      <w:numFmt w:val="bullet"/>
      <w:lvlText w:val="o"/>
      <w:lvlJc w:val="left"/>
      <w:pPr>
        <w:tabs>
          <w:tab w:val="num" w:pos="3600"/>
        </w:tabs>
        <w:ind w:left="3600" w:hanging="360"/>
      </w:pPr>
      <w:rPr>
        <w:rFonts w:ascii="Courier New" w:hAnsi="Courier New" w:cs="Courier New" w:hint="default"/>
      </w:rPr>
    </w:lvl>
    <w:lvl w:ilvl="5" w:tplc="C4543F84">
      <w:start w:val="1"/>
      <w:numFmt w:val="bullet"/>
      <w:lvlText w:val=""/>
      <w:lvlJc w:val="left"/>
      <w:pPr>
        <w:tabs>
          <w:tab w:val="num" w:pos="4320"/>
        </w:tabs>
        <w:ind w:left="4320" w:hanging="360"/>
      </w:pPr>
      <w:rPr>
        <w:rFonts w:ascii="Wingdings" w:hAnsi="Wingdings" w:cs="Wingdings" w:hint="default"/>
      </w:rPr>
    </w:lvl>
    <w:lvl w:ilvl="6" w:tplc="1E0C2BC6">
      <w:start w:val="1"/>
      <w:numFmt w:val="bullet"/>
      <w:lvlText w:val=""/>
      <w:lvlJc w:val="left"/>
      <w:pPr>
        <w:tabs>
          <w:tab w:val="num" w:pos="5040"/>
        </w:tabs>
        <w:ind w:left="5040" w:hanging="360"/>
      </w:pPr>
      <w:rPr>
        <w:rFonts w:ascii="Symbol" w:hAnsi="Symbol" w:cs="Symbol" w:hint="default"/>
      </w:rPr>
    </w:lvl>
    <w:lvl w:ilvl="7" w:tplc="CDFCC594">
      <w:start w:val="1"/>
      <w:numFmt w:val="bullet"/>
      <w:lvlText w:val="o"/>
      <w:lvlJc w:val="left"/>
      <w:pPr>
        <w:tabs>
          <w:tab w:val="num" w:pos="5760"/>
        </w:tabs>
        <w:ind w:left="5760" w:hanging="360"/>
      </w:pPr>
      <w:rPr>
        <w:rFonts w:ascii="Courier New" w:hAnsi="Courier New" w:cs="Courier New" w:hint="default"/>
      </w:rPr>
    </w:lvl>
    <w:lvl w:ilvl="8" w:tplc="506A8796">
      <w:start w:val="1"/>
      <w:numFmt w:val="bullet"/>
      <w:lvlText w:val=""/>
      <w:lvlJc w:val="left"/>
      <w:pPr>
        <w:tabs>
          <w:tab w:val="num" w:pos="6480"/>
        </w:tabs>
        <w:ind w:left="6480" w:hanging="360"/>
      </w:pPr>
      <w:rPr>
        <w:rFonts w:ascii="Wingdings" w:hAnsi="Wingdings" w:cs="Wingdings" w:hint="default"/>
      </w:rPr>
    </w:lvl>
  </w:abstractNum>
  <w:abstractNum w:abstractNumId="9">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cs="Wingdings"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10">
    <w:nsid w:val="3F3052C5"/>
    <w:multiLevelType w:val="hybridMultilevel"/>
    <w:tmpl w:val="149C141E"/>
    <w:lvl w:ilvl="0" w:tplc="040E0005">
      <w:start w:val="1"/>
      <w:numFmt w:val="bullet"/>
      <w:lvlText w:val=""/>
      <w:lvlJc w:val="left"/>
      <w:pPr>
        <w:ind w:left="1004" w:hanging="360"/>
      </w:pPr>
      <w:rPr>
        <w:rFonts w:ascii="Wingdings" w:hAnsi="Wingdings" w:cs="Wingdings"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cs="Wingdings" w:hint="default"/>
      </w:rPr>
    </w:lvl>
    <w:lvl w:ilvl="3" w:tplc="040E0001">
      <w:start w:val="1"/>
      <w:numFmt w:val="bullet"/>
      <w:lvlText w:val=""/>
      <w:lvlJc w:val="left"/>
      <w:pPr>
        <w:ind w:left="3164" w:hanging="360"/>
      </w:pPr>
      <w:rPr>
        <w:rFonts w:ascii="Symbol" w:hAnsi="Symbol" w:cs="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cs="Wingdings" w:hint="default"/>
      </w:rPr>
    </w:lvl>
    <w:lvl w:ilvl="6" w:tplc="040E0001">
      <w:start w:val="1"/>
      <w:numFmt w:val="bullet"/>
      <w:lvlText w:val=""/>
      <w:lvlJc w:val="left"/>
      <w:pPr>
        <w:ind w:left="5324" w:hanging="360"/>
      </w:pPr>
      <w:rPr>
        <w:rFonts w:ascii="Symbol" w:hAnsi="Symbol" w:cs="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cs="Wingdings" w:hint="default"/>
      </w:rPr>
    </w:lvl>
  </w:abstractNum>
  <w:abstractNum w:abstractNumId="11">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46317C78"/>
    <w:multiLevelType w:val="hybridMultilevel"/>
    <w:tmpl w:val="81A288E2"/>
    <w:lvl w:ilvl="0" w:tplc="76145EF0">
      <w:start w:val="1"/>
      <w:numFmt w:val="bullet"/>
      <w:lvlText w:val=""/>
      <w:lvlJc w:val="left"/>
      <w:pPr>
        <w:tabs>
          <w:tab w:val="num" w:pos="360"/>
        </w:tabs>
        <w:ind w:left="360" w:hanging="360"/>
      </w:pPr>
      <w:rPr>
        <w:rFonts w:ascii="Symbol" w:hAnsi="Symbol" w:cs="Symbol" w:hint="default"/>
        <w:color w:val="auto"/>
      </w:rPr>
    </w:lvl>
    <w:lvl w:ilvl="1" w:tplc="94FAD722">
      <w:start w:val="1"/>
      <w:numFmt w:val="bullet"/>
      <w:lvlText w:val="o"/>
      <w:lvlJc w:val="left"/>
      <w:pPr>
        <w:tabs>
          <w:tab w:val="num" w:pos="1440"/>
        </w:tabs>
        <w:ind w:left="1440" w:hanging="360"/>
      </w:pPr>
      <w:rPr>
        <w:rFonts w:ascii="Courier New" w:hAnsi="Courier New" w:cs="Courier New" w:hint="default"/>
      </w:rPr>
    </w:lvl>
    <w:lvl w:ilvl="2" w:tplc="DE0C0BAC">
      <w:start w:val="1"/>
      <w:numFmt w:val="bullet"/>
      <w:lvlText w:val=""/>
      <w:lvlJc w:val="left"/>
      <w:pPr>
        <w:tabs>
          <w:tab w:val="num" w:pos="2160"/>
        </w:tabs>
        <w:ind w:left="2160" w:hanging="360"/>
      </w:pPr>
      <w:rPr>
        <w:rFonts w:ascii="Wingdings" w:hAnsi="Wingdings" w:cs="Wingdings" w:hint="default"/>
      </w:rPr>
    </w:lvl>
    <w:lvl w:ilvl="3" w:tplc="3550B934">
      <w:start w:val="1"/>
      <w:numFmt w:val="bullet"/>
      <w:lvlText w:val=""/>
      <w:lvlJc w:val="left"/>
      <w:pPr>
        <w:tabs>
          <w:tab w:val="num" w:pos="2880"/>
        </w:tabs>
        <w:ind w:left="2880" w:hanging="360"/>
      </w:pPr>
      <w:rPr>
        <w:rFonts w:ascii="Symbol" w:hAnsi="Symbol" w:cs="Symbol" w:hint="default"/>
      </w:rPr>
    </w:lvl>
    <w:lvl w:ilvl="4" w:tplc="908A871C">
      <w:start w:val="1"/>
      <w:numFmt w:val="bullet"/>
      <w:lvlText w:val="o"/>
      <w:lvlJc w:val="left"/>
      <w:pPr>
        <w:tabs>
          <w:tab w:val="num" w:pos="3600"/>
        </w:tabs>
        <w:ind w:left="3600" w:hanging="360"/>
      </w:pPr>
      <w:rPr>
        <w:rFonts w:ascii="Courier New" w:hAnsi="Courier New" w:cs="Courier New" w:hint="default"/>
      </w:rPr>
    </w:lvl>
    <w:lvl w:ilvl="5" w:tplc="A9F470BE">
      <w:start w:val="1"/>
      <w:numFmt w:val="bullet"/>
      <w:lvlText w:val=""/>
      <w:lvlJc w:val="left"/>
      <w:pPr>
        <w:tabs>
          <w:tab w:val="num" w:pos="4320"/>
        </w:tabs>
        <w:ind w:left="4320" w:hanging="360"/>
      </w:pPr>
      <w:rPr>
        <w:rFonts w:ascii="Wingdings" w:hAnsi="Wingdings" w:cs="Wingdings" w:hint="default"/>
      </w:rPr>
    </w:lvl>
    <w:lvl w:ilvl="6" w:tplc="9DFC4290">
      <w:start w:val="1"/>
      <w:numFmt w:val="bullet"/>
      <w:lvlText w:val=""/>
      <w:lvlJc w:val="left"/>
      <w:pPr>
        <w:tabs>
          <w:tab w:val="num" w:pos="5040"/>
        </w:tabs>
        <w:ind w:left="5040" w:hanging="360"/>
      </w:pPr>
      <w:rPr>
        <w:rFonts w:ascii="Symbol" w:hAnsi="Symbol" w:cs="Symbol" w:hint="default"/>
      </w:rPr>
    </w:lvl>
    <w:lvl w:ilvl="7" w:tplc="EFE26530">
      <w:start w:val="1"/>
      <w:numFmt w:val="bullet"/>
      <w:lvlText w:val="o"/>
      <w:lvlJc w:val="left"/>
      <w:pPr>
        <w:tabs>
          <w:tab w:val="num" w:pos="5760"/>
        </w:tabs>
        <w:ind w:left="5760" w:hanging="360"/>
      </w:pPr>
      <w:rPr>
        <w:rFonts w:ascii="Courier New" w:hAnsi="Courier New" w:cs="Courier New" w:hint="default"/>
      </w:rPr>
    </w:lvl>
    <w:lvl w:ilvl="8" w:tplc="590A4EC6">
      <w:start w:val="1"/>
      <w:numFmt w:val="bullet"/>
      <w:lvlText w:val=""/>
      <w:lvlJc w:val="left"/>
      <w:pPr>
        <w:tabs>
          <w:tab w:val="num" w:pos="6480"/>
        </w:tabs>
        <w:ind w:left="6480" w:hanging="360"/>
      </w:pPr>
      <w:rPr>
        <w:rFonts w:ascii="Wingdings" w:hAnsi="Wingdings" w:cs="Wingdings" w:hint="default"/>
      </w:rPr>
    </w:lvl>
  </w:abstractNum>
  <w:abstractNum w:abstractNumId="13">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cs="Wingdings" w:hint="default"/>
      </w:rPr>
    </w:lvl>
    <w:lvl w:ilvl="3" w:tplc="040E0001">
      <w:start w:val="1"/>
      <w:numFmt w:val="bullet"/>
      <w:lvlText w:val=""/>
      <w:lvlJc w:val="left"/>
      <w:pPr>
        <w:tabs>
          <w:tab w:val="num" w:pos="2804"/>
        </w:tabs>
        <w:ind w:left="2804" w:hanging="360"/>
      </w:pPr>
      <w:rPr>
        <w:rFonts w:ascii="Symbol" w:hAnsi="Symbol" w:cs="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cs="Wingdings" w:hint="default"/>
      </w:rPr>
    </w:lvl>
    <w:lvl w:ilvl="6" w:tplc="040E0001">
      <w:start w:val="1"/>
      <w:numFmt w:val="bullet"/>
      <w:lvlText w:val=""/>
      <w:lvlJc w:val="left"/>
      <w:pPr>
        <w:tabs>
          <w:tab w:val="num" w:pos="4964"/>
        </w:tabs>
        <w:ind w:left="4964" w:hanging="360"/>
      </w:pPr>
      <w:rPr>
        <w:rFonts w:ascii="Symbol" w:hAnsi="Symbol" w:cs="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start w:val="1"/>
      <w:numFmt w:val="bullet"/>
      <w:lvlText w:val=""/>
      <w:lvlJc w:val="left"/>
      <w:pPr>
        <w:tabs>
          <w:tab w:val="num" w:pos="6404"/>
        </w:tabs>
        <w:ind w:left="6404" w:hanging="360"/>
      </w:pPr>
      <w:rPr>
        <w:rFonts w:ascii="Wingdings" w:hAnsi="Wingdings" w:cs="Wingdings" w:hint="default"/>
      </w:rPr>
    </w:lvl>
  </w:abstractNum>
  <w:abstractNum w:abstractNumId="14">
    <w:nsid w:val="4E31743A"/>
    <w:multiLevelType w:val="hybridMultilevel"/>
    <w:tmpl w:val="5734B796"/>
    <w:lvl w:ilvl="0" w:tplc="ACA84BD2">
      <w:start w:val="1"/>
      <w:numFmt w:val="bullet"/>
      <w:lvlText w:val=""/>
      <w:lvlJc w:val="left"/>
      <w:pPr>
        <w:tabs>
          <w:tab w:val="num" w:pos="360"/>
        </w:tabs>
        <w:ind w:left="360" w:hanging="360"/>
      </w:pPr>
      <w:rPr>
        <w:rFonts w:ascii="Symbol" w:hAnsi="Symbol" w:cs="Symbol" w:hint="default"/>
        <w:color w:val="auto"/>
      </w:rPr>
    </w:lvl>
    <w:lvl w:ilvl="1" w:tplc="0762A386">
      <w:start w:val="1"/>
      <w:numFmt w:val="bullet"/>
      <w:lvlText w:val="o"/>
      <w:lvlJc w:val="left"/>
      <w:pPr>
        <w:tabs>
          <w:tab w:val="num" w:pos="1440"/>
        </w:tabs>
        <w:ind w:left="1440" w:hanging="360"/>
      </w:pPr>
      <w:rPr>
        <w:rFonts w:ascii="Courier New" w:hAnsi="Courier New" w:cs="Courier New" w:hint="default"/>
      </w:rPr>
    </w:lvl>
    <w:lvl w:ilvl="2" w:tplc="C1B248AE">
      <w:start w:val="1"/>
      <w:numFmt w:val="bullet"/>
      <w:lvlText w:val=""/>
      <w:lvlJc w:val="left"/>
      <w:pPr>
        <w:tabs>
          <w:tab w:val="num" w:pos="2160"/>
        </w:tabs>
        <w:ind w:left="2160" w:hanging="360"/>
      </w:pPr>
      <w:rPr>
        <w:rFonts w:ascii="Wingdings" w:hAnsi="Wingdings" w:cs="Wingdings" w:hint="default"/>
      </w:rPr>
    </w:lvl>
    <w:lvl w:ilvl="3" w:tplc="C6122C52">
      <w:start w:val="1"/>
      <w:numFmt w:val="bullet"/>
      <w:lvlText w:val=""/>
      <w:lvlJc w:val="left"/>
      <w:pPr>
        <w:tabs>
          <w:tab w:val="num" w:pos="2880"/>
        </w:tabs>
        <w:ind w:left="2880" w:hanging="360"/>
      </w:pPr>
      <w:rPr>
        <w:rFonts w:ascii="Symbol" w:hAnsi="Symbol" w:cs="Symbol" w:hint="default"/>
      </w:rPr>
    </w:lvl>
    <w:lvl w:ilvl="4" w:tplc="AADA11D4">
      <w:start w:val="1"/>
      <w:numFmt w:val="bullet"/>
      <w:lvlText w:val="o"/>
      <w:lvlJc w:val="left"/>
      <w:pPr>
        <w:tabs>
          <w:tab w:val="num" w:pos="3600"/>
        </w:tabs>
        <w:ind w:left="3600" w:hanging="360"/>
      </w:pPr>
      <w:rPr>
        <w:rFonts w:ascii="Courier New" w:hAnsi="Courier New" w:cs="Courier New" w:hint="default"/>
      </w:rPr>
    </w:lvl>
    <w:lvl w:ilvl="5" w:tplc="350C6ED2">
      <w:start w:val="1"/>
      <w:numFmt w:val="bullet"/>
      <w:lvlText w:val=""/>
      <w:lvlJc w:val="left"/>
      <w:pPr>
        <w:tabs>
          <w:tab w:val="num" w:pos="4320"/>
        </w:tabs>
        <w:ind w:left="4320" w:hanging="360"/>
      </w:pPr>
      <w:rPr>
        <w:rFonts w:ascii="Wingdings" w:hAnsi="Wingdings" w:cs="Wingdings" w:hint="default"/>
      </w:rPr>
    </w:lvl>
    <w:lvl w:ilvl="6" w:tplc="E6C2343C">
      <w:start w:val="1"/>
      <w:numFmt w:val="bullet"/>
      <w:lvlText w:val=""/>
      <w:lvlJc w:val="left"/>
      <w:pPr>
        <w:tabs>
          <w:tab w:val="num" w:pos="5040"/>
        </w:tabs>
        <w:ind w:left="5040" w:hanging="360"/>
      </w:pPr>
      <w:rPr>
        <w:rFonts w:ascii="Symbol" w:hAnsi="Symbol" w:cs="Symbol" w:hint="default"/>
      </w:rPr>
    </w:lvl>
    <w:lvl w:ilvl="7" w:tplc="4BBE083C">
      <w:start w:val="1"/>
      <w:numFmt w:val="bullet"/>
      <w:lvlText w:val="o"/>
      <w:lvlJc w:val="left"/>
      <w:pPr>
        <w:tabs>
          <w:tab w:val="num" w:pos="5760"/>
        </w:tabs>
        <w:ind w:left="5760" w:hanging="360"/>
      </w:pPr>
      <w:rPr>
        <w:rFonts w:ascii="Courier New" w:hAnsi="Courier New" w:cs="Courier New" w:hint="default"/>
      </w:rPr>
    </w:lvl>
    <w:lvl w:ilvl="8" w:tplc="347E1B32">
      <w:start w:val="1"/>
      <w:numFmt w:val="bullet"/>
      <w:lvlText w:val=""/>
      <w:lvlJc w:val="left"/>
      <w:pPr>
        <w:tabs>
          <w:tab w:val="num" w:pos="6480"/>
        </w:tabs>
        <w:ind w:left="6480" w:hanging="360"/>
      </w:pPr>
      <w:rPr>
        <w:rFonts w:ascii="Wingdings" w:hAnsi="Wingdings" w:cs="Wingdings" w:hint="default"/>
      </w:rPr>
    </w:lvl>
  </w:abstractNum>
  <w:abstractNum w:abstractNumId="15">
    <w:nsid w:val="518C4077"/>
    <w:multiLevelType w:val="hybridMultilevel"/>
    <w:tmpl w:val="B5CA7CA6"/>
    <w:lvl w:ilvl="0" w:tplc="C4EAEA0C">
      <w:start w:val="1"/>
      <w:numFmt w:val="bullet"/>
      <w:lvlText w:val=""/>
      <w:lvlJc w:val="left"/>
      <w:pPr>
        <w:tabs>
          <w:tab w:val="num" w:pos="360"/>
        </w:tabs>
        <w:ind w:left="360" w:hanging="360"/>
      </w:pPr>
      <w:rPr>
        <w:rFonts w:ascii="Symbol" w:hAnsi="Symbol" w:cs="Symbol" w:hint="default"/>
        <w:color w:val="auto"/>
      </w:rPr>
    </w:lvl>
    <w:lvl w:ilvl="1" w:tplc="70667636">
      <w:start w:val="1"/>
      <w:numFmt w:val="bullet"/>
      <w:lvlText w:val="o"/>
      <w:lvlJc w:val="left"/>
      <w:pPr>
        <w:tabs>
          <w:tab w:val="num" w:pos="1440"/>
        </w:tabs>
        <w:ind w:left="1440" w:hanging="360"/>
      </w:pPr>
      <w:rPr>
        <w:rFonts w:ascii="Courier New" w:hAnsi="Courier New" w:cs="Courier New" w:hint="default"/>
      </w:rPr>
    </w:lvl>
    <w:lvl w:ilvl="2" w:tplc="5E9C0C9A">
      <w:start w:val="1"/>
      <w:numFmt w:val="bullet"/>
      <w:lvlText w:val=""/>
      <w:lvlJc w:val="left"/>
      <w:pPr>
        <w:tabs>
          <w:tab w:val="num" w:pos="2160"/>
        </w:tabs>
        <w:ind w:left="2160" w:hanging="360"/>
      </w:pPr>
      <w:rPr>
        <w:rFonts w:ascii="Wingdings" w:hAnsi="Wingdings" w:cs="Wingdings" w:hint="default"/>
      </w:rPr>
    </w:lvl>
    <w:lvl w:ilvl="3" w:tplc="E4121C56">
      <w:start w:val="1"/>
      <w:numFmt w:val="bullet"/>
      <w:lvlText w:val=""/>
      <w:lvlJc w:val="left"/>
      <w:pPr>
        <w:tabs>
          <w:tab w:val="num" w:pos="2880"/>
        </w:tabs>
        <w:ind w:left="2880" w:hanging="360"/>
      </w:pPr>
      <w:rPr>
        <w:rFonts w:ascii="Symbol" w:hAnsi="Symbol" w:cs="Symbol" w:hint="default"/>
      </w:rPr>
    </w:lvl>
    <w:lvl w:ilvl="4" w:tplc="77D809E8">
      <w:start w:val="1"/>
      <w:numFmt w:val="bullet"/>
      <w:lvlText w:val="o"/>
      <w:lvlJc w:val="left"/>
      <w:pPr>
        <w:tabs>
          <w:tab w:val="num" w:pos="3600"/>
        </w:tabs>
        <w:ind w:left="3600" w:hanging="360"/>
      </w:pPr>
      <w:rPr>
        <w:rFonts w:ascii="Courier New" w:hAnsi="Courier New" w:cs="Courier New" w:hint="default"/>
      </w:rPr>
    </w:lvl>
    <w:lvl w:ilvl="5" w:tplc="898C4776">
      <w:start w:val="1"/>
      <w:numFmt w:val="bullet"/>
      <w:lvlText w:val=""/>
      <w:lvlJc w:val="left"/>
      <w:pPr>
        <w:tabs>
          <w:tab w:val="num" w:pos="4320"/>
        </w:tabs>
        <w:ind w:left="4320" w:hanging="360"/>
      </w:pPr>
      <w:rPr>
        <w:rFonts w:ascii="Wingdings" w:hAnsi="Wingdings" w:cs="Wingdings" w:hint="default"/>
      </w:rPr>
    </w:lvl>
    <w:lvl w:ilvl="6" w:tplc="08A4F77C">
      <w:start w:val="1"/>
      <w:numFmt w:val="bullet"/>
      <w:lvlText w:val=""/>
      <w:lvlJc w:val="left"/>
      <w:pPr>
        <w:tabs>
          <w:tab w:val="num" w:pos="5040"/>
        </w:tabs>
        <w:ind w:left="5040" w:hanging="360"/>
      </w:pPr>
      <w:rPr>
        <w:rFonts w:ascii="Symbol" w:hAnsi="Symbol" w:cs="Symbol" w:hint="default"/>
      </w:rPr>
    </w:lvl>
    <w:lvl w:ilvl="7" w:tplc="D2861B26">
      <w:start w:val="1"/>
      <w:numFmt w:val="bullet"/>
      <w:lvlText w:val="o"/>
      <w:lvlJc w:val="left"/>
      <w:pPr>
        <w:tabs>
          <w:tab w:val="num" w:pos="5760"/>
        </w:tabs>
        <w:ind w:left="5760" w:hanging="360"/>
      </w:pPr>
      <w:rPr>
        <w:rFonts w:ascii="Courier New" w:hAnsi="Courier New" w:cs="Courier New" w:hint="default"/>
      </w:rPr>
    </w:lvl>
    <w:lvl w:ilvl="8" w:tplc="04687792">
      <w:start w:val="1"/>
      <w:numFmt w:val="bullet"/>
      <w:lvlText w:val=""/>
      <w:lvlJc w:val="left"/>
      <w:pPr>
        <w:tabs>
          <w:tab w:val="num" w:pos="6480"/>
        </w:tabs>
        <w:ind w:left="6480" w:hanging="360"/>
      </w:pPr>
      <w:rPr>
        <w:rFonts w:ascii="Wingdings" w:hAnsi="Wingdings" w:cs="Wingdings" w:hint="default"/>
      </w:rPr>
    </w:lvl>
  </w:abstractNum>
  <w:abstractNum w:abstractNumId="16">
    <w:nsid w:val="57F648F9"/>
    <w:multiLevelType w:val="hybridMultilevel"/>
    <w:tmpl w:val="6FA8EC70"/>
    <w:lvl w:ilvl="0" w:tplc="26A01B4C">
      <w:start w:val="1"/>
      <w:numFmt w:val="bullet"/>
      <w:lvlText w:val=""/>
      <w:lvlJc w:val="left"/>
      <w:pPr>
        <w:tabs>
          <w:tab w:val="num" w:pos="924"/>
        </w:tabs>
        <w:ind w:left="924" w:hanging="360"/>
      </w:pPr>
      <w:rPr>
        <w:rFonts w:ascii="Symbol" w:hAnsi="Symbol" w:cs="Symbol" w:hint="default"/>
      </w:rPr>
    </w:lvl>
    <w:lvl w:ilvl="1" w:tplc="AB88F458">
      <w:start w:val="1"/>
      <w:numFmt w:val="bullet"/>
      <w:lvlText w:val="o"/>
      <w:lvlJc w:val="left"/>
      <w:pPr>
        <w:tabs>
          <w:tab w:val="num" w:pos="1644"/>
        </w:tabs>
        <w:ind w:left="1644" w:hanging="360"/>
      </w:pPr>
      <w:rPr>
        <w:rFonts w:ascii="Courier New" w:hAnsi="Courier New" w:cs="Courier New" w:hint="default"/>
      </w:rPr>
    </w:lvl>
    <w:lvl w:ilvl="2" w:tplc="59625D48">
      <w:start w:val="1"/>
      <w:numFmt w:val="bullet"/>
      <w:lvlText w:val=""/>
      <w:lvlJc w:val="left"/>
      <w:pPr>
        <w:tabs>
          <w:tab w:val="num" w:pos="2364"/>
        </w:tabs>
        <w:ind w:left="2364" w:hanging="360"/>
      </w:pPr>
      <w:rPr>
        <w:rFonts w:ascii="Wingdings" w:hAnsi="Wingdings" w:cs="Wingdings" w:hint="default"/>
      </w:rPr>
    </w:lvl>
    <w:lvl w:ilvl="3" w:tplc="F1F88226">
      <w:start w:val="1"/>
      <w:numFmt w:val="bullet"/>
      <w:lvlText w:val=""/>
      <w:lvlJc w:val="left"/>
      <w:pPr>
        <w:tabs>
          <w:tab w:val="num" w:pos="3084"/>
        </w:tabs>
        <w:ind w:left="3084" w:hanging="360"/>
      </w:pPr>
      <w:rPr>
        <w:rFonts w:ascii="Symbol" w:hAnsi="Symbol" w:cs="Symbol" w:hint="default"/>
      </w:rPr>
    </w:lvl>
    <w:lvl w:ilvl="4" w:tplc="7FEAB0D0">
      <w:start w:val="1"/>
      <w:numFmt w:val="bullet"/>
      <w:lvlText w:val="o"/>
      <w:lvlJc w:val="left"/>
      <w:pPr>
        <w:tabs>
          <w:tab w:val="num" w:pos="3804"/>
        </w:tabs>
        <w:ind w:left="3804" w:hanging="360"/>
      </w:pPr>
      <w:rPr>
        <w:rFonts w:ascii="Courier New" w:hAnsi="Courier New" w:cs="Courier New" w:hint="default"/>
      </w:rPr>
    </w:lvl>
    <w:lvl w:ilvl="5" w:tplc="9474BA6C">
      <w:start w:val="1"/>
      <w:numFmt w:val="bullet"/>
      <w:lvlText w:val=""/>
      <w:lvlJc w:val="left"/>
      <w:pPr>
        <w:tabs>
          <w:tab w:val="num" w:pos="4524"/>
        </w:tabs>
        <w:ind w:left="4524" w:hanging="360"/>
      </w:pPr>
      <w:rPr>
        <w:rFonts w:ascii="Wingdings" w:hAnsi="Wingdings" w:cs="Wingdings" w:hint="default"/>
      </w:rPr>
    </w:lvl>
    <w:lvl w:ilvl="6" w:tplc="675A84EE">
      <w:start w:val="1"/>
      <w:numFmt w:val="bullet"/>
      <w:lvlText w:val=""/>
      <w:lvlJc w:val="left"/>
      <w:pPr>
        <w:tabs>
          <w:tab w:val="num" w:pos="5244"/>
        </w:tabs>
        <w:ind w:left="5244" w:hanging="360"/>
      </w:pPr>
      <w:rPr>
        <w:rFonts w:ascii="Symbol" w:hAnsi="Symbol" w:cs="Symbol" w:hint="default"/>
      </w:rPr>
    </w:lvl>
    <w:lvl w:ilvl="7" w:tplc="324E37F0">
      <w:start w:val="1"/>
      <w:numFmt w:val="bullet"/>
      <w:lvlText w:val="o"/>
      <w:lvlJc w:val="left"/>
      <w:pPr>
        <w:tabs>
          <w:tab w:val="num" w:pos="5964"/>
        </w:tabs>
        <w:ind w:left="5964" w:hanging="360"/>
      </w:pPr>
      <w:rPr>
        <w:rFonts w:ascii="Courier New" w:hAnsi="Courier New" w:cs="Courier New" w:hint="default"/>
      </w:rPr>
    </w:lvl>
    <w:lvl w:ilvl="8" w:tplc="4F24864C">
      <w:start w:val="1"/>
      <w:numFmt w:val="bullet"/>
      <w:lvlText w:val=""/>
      <w:lvlJc w:val="left"/>
      <w:pPr>
        <w:tabs>
          <w:tab w:val="num" w:pos="6684"/>
        </w:tabs>
        <w:ind w:left="6684" w:hanging="360"/>
      </w:pPr>
      <w:rPr>
        <w:rFonts w:ascii="Wingdings" w:hAnsi="Wingdings" w:cs="Wingdings" w:hint="default"/>
      </w:rPr>
    </w:lvl>
  </w:abstractNum>
  <w:abstractNum w:abstractNumId="17">
    <w:nsid w:val="581903BA"/>
    <w:multiLevelType w:val="multilevel"/>
    <w:tmpl w:val="F4BED4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584A4E3D"/>
    <w:multiLevelType w:val="hybridMultilevel"/>
    <w:tmpl w:val="7FE60220"/>
    <w:lvl w:ilvl="0" w:tplc="EE060D56">
      <w:start w:val="1"/>
      <w:numFmt w:val="bullet"/>
      <w:lvlText w:val=""/>
      <w:lvlJc w:val="left"/>
      <w:pPr>
        <w:ind w:left="1146" w:hanging="360"/>
      </w:pPr>
      <w:rPr>
        <w:rFonts w:ascii="Symbol" w:hAnsi="Symbol" w:cs="Symbol" w:hint="default"/>
      </w:rPr>
    </w:lvl>
    <w:lvl w:ilvl="1" w:tplc="DCD68BA6">
      <w:start w:val="1"/>
      <w:numFmt w:val="bullet"/>
      <w:lvlText w:val="o"/>
      <w:lvlJc w:val="left"/>
      <w:pPr>
        <w:ind w:left="1866" w:hanging="360"/>
      </w:pPr>
      <w:rPr>
        <w:rFonts w:ascii="Courier New" w:hAnsi="Courier New" w:cs="Courier New" w:hint="default"/>
      </w:rPr>
    </w:lvl>
    <w:lvl w:ilvl="2" w:tplc="FEF46520">
      <w:start w:val="1"/>
      <w:numFmt w:val="bullet"/>
      <w:lvlText w:val=""/>
      <w:lvlJc w:val="left"/>
      <w:pPr>
        <w:ind w:left="2586" w:hanging="360"/>
      </w:pPr>
      <w:rPr>
        <w:rFonts w:ascii="Wingdings" w:hAnsi="Wingdings" w:cs="Wingdings" w:hint="default"/>
      </w:rPr>
    </w:lvl>
    <w:lvl w:ilvl="3" w:tplc="F9E6B86C">
      <w:start w:val="1"/>
      <w:numFmt w:val="bullet"/>
      <w:lvlText w:val=""/>
      <w:lvlJc w:val="left"/>
      <w:pPr>
        <w:ind w:left="3306" w:hanging="360"/>
      </w:pPr>
      <w:rPr>
        <w:rFonts w:ascii="Symbol" w:hAnsi="Symbol" w:cs="Symbol" w:hint="default"/>
      </w:rPr>
    </w:lvl>
    <w:lvl w:ilvl="4" w:tplc="AAC2798E">
      <w:start w:val="1"/>
      <w:numFmt w:val="bullet"/>
      <w:lvlText w:val="o"/>
      <w:lvlJc w:val="left"/>
      <w:pPr>
        <w:ind w:left="4026" w:hanging="360"/>
      </w:pPr>
      <w:rPr>
        <w:rFonts w:ascii="Courier New" w:hAnsi="Courier New" w:cs="Courier New" w:hint="default"/>
      </w:rPr>
    </w:lvl>
    <w:lvl w:ilvl="5" w:tplc="D8667884">
      <w:start w:val="1"/>
      <w:numFmt w:val="bullet"/>
      <w:lvlText w:val=""/>
      <w:lvlJc w:val="left"/>
      <w:pPr>
        <w:ind w:left="4746" w:hanging="360"/>
      </w:pPr>
      <w:rPr>
        <w:rFonts w:ascii="Wingdings" w:hAnsi="Wingdings" w:cs="Wingdings" w:hint="default"/>
      </w:rPr>
    </w:lvl>
    <w:lvl w:ilvl="6" w:tplc="F3A0DEFA">
      <w:start w:val="1"/>
      <w:numFmt w:val="bullet"/>
      <w:lvlText w:val=""/>
      <w:lvlJc w:val="left"/>
      <w:pPr>
        <w:ind w:left="5466" w:hanging="360"/>
      </w:pPr>
      <w:rPr>
        <w:rFonts w:ascii="Symbol" w:hAnsi="Symbol" w:cs="Symbol" w:hint="default"/>
      </w:rPr>
    </w:lvl>
    <w:lvl w:ilvl="7" w:tplc="A22ABA54">
      <w:start w:val="1"/>
      <w:numFmt w:val="bullet"/>
      <w:lvlText w:val="o"/>
      <w:lvlJc w:val="left"/>
      <w:pPr>
        <w:ind w:left="6186" w:hanging="360"/>
      </w:pPr>
      <w:rPr>
        <w:rFonts w:ascii="Courier New" w:hAnsi="Courier New" w:cs="Courier New" w:hint="default"/>
      </w:rPr>
    </w:lvl>
    <w:lvl w:ilvl="8" w:tplc="BB263D1C">
      <w:start w:val="1"/>
      <w:numFmt w:val="bullet"/>
      <w:lvlText w:val=""/>
      <w:lvlJc w:val="left"/>
      <w:pPr>
        <w:ind w:left="6906" w:hanging="360"/>
      </w:pPr>
      <w:rPr>
        <w:rFonts w:ascii="Wingdings" w:hAnsi="Wingdings" w:cs="Wingdings" w:hint="default"/>
      </w:rPr>
    </w:lvl>
  </w:abstractNum>
  <w:abstractNum w:abstractNumId="19">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start w:val="1"/>
      <w:numFmt w:val="bullet"/>
      <w:lvlText w:val="o"/>
      <w:lvlJc w:val="left"/>
      <w:pPr>
        <w:tabs>
          <w:tab w:val="num" w:pos="2781"/>
        </w:tabs>
        <w:ind w:left="2781" w:hanging="360"/>
      </w:pPr>
      <w:rPr>
        <w:rFonts w:ascii="Courier New" w:hAnsi="Courier New" w:cs="Courier New" w:hint="default"/>
      </w:rPr>
    </w:lvl>
    <w:lvl w:ilvl="2" w:tplc="DFCA0E44">
      <w:start w:val="1"/>
      <w:numFmt w:val="bullet"/>
      <w:lvlText w:val=""/>
      <w:lvlJc w:val="left"/>
      <w:pPr>
        <w:tabs>
          <w:tab w:val="num" w:pos="3501"/>
        </w:tabs>
        <w:ind w:left="3501" w:hanging="360"/>
      </w:pPr>
      <w:rPr>
        <w:rFonts w:ascii="Wingdings" w:hAnsi="Wingdings" w:cs="Wingdings" w:hint="default"/>
      </w:rPr>
    </w:lvl>
    <w:lvl w:ilvl="3" w:tplc="8926DC48">
      <w:start w:val="1"/>
      <w:numFmt w:val="bullet"/>
      <w:lvlText w:val=""/>
      <w:lvlJc w:val="left"/>
      <w:pPr>
        <w:tabs>
          <w:tab w:val="num" w:pos="4221"/>
        </w:tabs>
        <w:ind w:left="4221" w:hanging="360"/>
      </w:pPr>
      <w:rPr>
        <w:rFonts w:ascii="Symbol" w:hAnsi="Symbol" w:cs="Symbol" w:hint="default"/>
      </w:rPr>
    </w:lvl>
    <w:lvl w:ilvl="4" w:tplc="5D5E75BC">
      <w:start w:val="1"/>
      <w:numFmt w:val="bullet"/>
      <w:lvlText w:val="o"/>
      <w:lvlJc w:val="left"/>
      <w:pPr>
        <w:tabs>
          <w:tab w:val="num" w:pos="4941"/>
        </w:tabs>
        <w:ind w:left="4941" w:hanging="360"/>
      </w:pPr>
      <w:rPr>
        <w:rFonts w:ascii="Courier New" w:hAnsi="Courier New" w:cs="Courier New" w:hint="default"/>
      </w:rPr>
    </w:lvl>
    <w:lvl w:ilvl="5" w:tplc="41F24C3C">
      <w:start w:val="1"/>
      <w:numFmt w:val="bullet"/>
      <w:lvlText w:val=""/>
      <w:lvlJc w:val="left"/>
      <w:pPr>
        <w:tabs>
          <w:tab w:val="num" w:pos="5661"/>
        </w:tabs>
        <w:ind w:left="5661" w:hanging="360"/>
      </w:pPr>
      <w:rPr>
        <w:rFonts w:ascii="Wingdings" w:hAnsi="Wingdings" w:cs="Wingdings" w:hint="default"/>
      </w:rPr>
    </w:lvl>
    <w:lvl w:ilvl="6" w:tplc="334432A6">
      <w:start w:val="1"/>
      <w:numFmt w:val="bullet"/>
      <w:lvlText w:val=""/>
      <w:lvlJc w:val="left"/>
      <w:pPr>
        <w:tabs>
          <w:tab w:val="num" w:pos="6381"/>
        </w:tabs>
        <w:ind w:left="6381" w:hanging="360"/>
      </w:pPr>
      <w:rPr>
        <w:rFonts w:ascii="Symbol" w:hAnsi="Symbol" w:cs="Symbol" w:hint="default"/>
      </w:rPr>
    </w:lvl>
    <w:lvl w:ilvl="7" w:tplc="7A4E65AC">
      <w:start w:val="1"/>
      <w:numFmt w:val="bullet"/>
      <w:lvlText w:val="o"/>
      <w:lvlJc w:val="left"/>
      <w:pPr>
        <w:tabs>
          <w:tab w:val="num" w:pos="7101"/>
        </w:tabs>
        <w:ind w:left="7101" w:hanging="360"/>
      </w:pPr>
      <w:rPr>
        <w:rFonts w:ascii="Courier New" w:hAnsi="Courier New" w:cs="Courier New" w:hint="default"/>
      </w:rPr>
    </w:lvl>
    <w:lvl w:ilvl="8" w:tplc="DD105A6E">
      <w:start w:val="1"/>
      <w:numFmt w:val="bullet"/>
      <w:lvlText w:val=""/>
      <w:lvlJc w:val="left"/>
      <w:pPr>
        <w:tabs>
          <w:tab w:val="num" w:pos="7821"/>
        </w:tabs>
        <w:ind w:left="7821" w:hanging="360"/>
      </w:pPr>
      <w:rPr>
        <w:rFonts w:ascii="Wingdings" w:hAnsi="Wingdings" w:cs="Wingdings" w:hint="default"/>
      </w:rPr>
    </w:lvl>
  </w:abstractNum>
  <w:abstractNum w:abstractNumId="20">
    <w:nsid w:val="60AC6EA8"/>
    <w:multiLevelType w:val="hybridMultilevel"/>
    <w:tmpl w:val="E3584BE8"/>
    <w:lvl w:ilvl="0" w:tplc="040E0001">
      <w:start w:val="1"/>
      <w:numFmt w:val="bullet"/>
      <w:lvlText w:val=""/>
      <w:lvlJc w:val="left"/>
      <w:pPr>
        <w:ind w:left="2345" w:hanging="360"/>
      </w:pPr>
      <w:rPr>
        <w:rFonts w:ascii="Symbol" w:hAnsi="Symbol" w:cs="Symbol"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abstractNum w:abstractNumId="21">
    <w:nsid w:val="64352045"/>
    <w:multiLevelType w:val="hybridMultilevel"/>
    <w:tmpl w:val="4774B770"/>
    <w:lvl w:ilvl="0" w:tplc="734A3876">
      <w:start w:val="1"/>
      <w:numFmt w:val="bullet"/>
      <w:lvlText w:val=""/>
      <w:lvlJc w:val="left"/>
      <w:pPr>
        <w:tabs>
          <w:tab w:val="num" w:pos="924"/>
        </w:tabs>
        <w:ind w:left="924" w:hanging="360"/>
      </w:pPr>
      <w:rPr>
        <w:rFonts w:ascii="Symbol" w:hAnsi="Symbol" w:cs="Symbol" w:hint="default"/>
      </w:rPr>
    </w:lvl>
    <w:lvl w:ilvl="1" w:tplc="901C176A">
      <w:start w:val="1"/>
      <w:numFmt w:val="bullet"/>
      <w:lvlText w:val="o"/>
      <w:lvlJc w:val="left"/>
      <w:pPr>
        <w:tabs>
          <w:tab w:val="num" w:pos="1644"/>
        </w:tabs>
        <w:ind w:left="1644" w:hanging="360"/>
      </w:pPr>
      <w:rPr>
        <w:rFonts w:ascii="Courier New" w:hAnsi="Courier New" w:cs="Courier New" w:hint="default"/>
      </w:rPr>
    </w:lvl>
    <w:lvl w:ilvl="2" w:tplc="9E3838B4">
      <w:start w:val="1"/>
      <w:numFmt w:val="bullet"/>
      <w:lvlText w:val=""/>
      <w:lvlJc w:val="left"/>
      <w:pPr>
        <w:tabs>
          <w:tab w:val="num" w:pos="2364"/>
        </w:tabs>
        <w:ind w:left="2364" w:hanging="360"/>
      </w:pPr>
      <w:rPr>
        <w:rFonts w:ascii="Wingdings" w:hAnsi="Wingdings" w:cs="Wingdings" w:hint="default"/>
      </w:rPr>
    </w:lvl>
    <w:lvl w:ilvl="3" w:tplc="B8E01AF6">
      <w:start w:val="1"/>
      <w:numFmt w:val="bullet"/>
      <w:lvlText w:val=""/>
      <w:lvlJc w:val="left"/>
      <w:pPr>
        <w:tabs>
          <w:tab w:val="num" w:pos="3084"/>
        </w:tabs>
        <w:ind w:left="3084" w:hanging="360"/>
      </w:pPr>
      <w:rPr>
        <w:rFonts w:ascii="Symbol" w:hAnsi="Symbol" w:cs="Symbol" w:hint="default"/>
      </w:rPr>
    </w:lvl>
    <w:lvl w:ilvl="4" w:tplc="A77E3722">
      <w:start w:val="1"/>
      <w:numFmt w:val="bullet"/>
      <w:lvlText w:val="o"/>
      <w:lvlJc w:val="left"/>
      <w:pPr>
        <w:tabs>
          <w:tab w:val="num" w:pos="3804"/>
        </w:tabs>
        <w:ind w:left="3804" w:hanging="360"/>
      </w:pPr>
      <w:rPr>
        <w:rFonts w:ascii="Courier New" w:hAnsi="Courier New" w:cs="Courier New" w:hint="default"/>
      </w:rPr>
    </w:lvl>
    <w:lvl w:ilvl="5" w:tplc="7C4E6056">
      <w:start w:val="1"/>
      <w:numFmt w:val="bullet"/>
      <w:lvlText w:val=""/>
      <w:lvlJc w:val="left"/>
      <w:pPr>
        <w:tabs>
          <w:tab w:val="num" w:pos="4524"/>
        </w:tabs>
        <w:ind w:left="4524" w:hanging="360"/>
      </w:pPr>
      <w:rPr>
        <w:rFonts w:ascii="Wingdings" w:hAnsi="Wingdings" w:cs="Wingdings" w:hint="default"/>
      </w:rPr>
    </w:lvl>
    <w:lvl w:ilvl="6" w:tplc="33CEE678">
      <w:start w:val="1"/>
      <w:numFmt w:val="bullet"/>
      <w:lvlText w:val=""/>
      <w:lvlJc w:val="left"/>
      <w:pPr>
        <w:tabs>
          <w:tab w:val="num" w:pos="5244"/>
        </w:tabs>
        <w:ind w:left="5244" w:hanging="360"/>
      </w:pPr>
      <w:rPr>
        <w:rFonts w:ascii="Symbol" w:hAnsi="Symbol" w:cs="Symbol" w:hint="default"/>
      </w:rPr>
    </w:lvl>
    <w:lvl w:ilvl="7" w:tplc="1ADA7EC8">
      <w:start w:val="1"/>
      <w:numFmt w:val="bullet"/>
      <w:lvlText w:val="o"/>
      <w:lvlJc w:val="left"/>
      <w:pPr>
        <w:tabs>
          <w:tab w:val="num" w:pos="5964"/>
        </w:tabs>
        <w:ind w:left="5964" w:hanging="360"/>
      </w:pPr>
      <w:rPr>
        <w:rFonts w:ascii="Courier New" w:hAnsi="Courier New" w:cs="Courier New" w:hint="default"/>
      </w:rPr>
    </w:lvl>
    <w:lvl w:ilvl="8" w:tplc="5C14E64C">
      <w:start w:val="1"/>
      <w:numFmt w:val="bullet"/>
      <w:lvlText w:val=""/>
      <w:lvlJc w:val="left"/>
      <w:pPr>
        <w:tabs>
          <w:tab w:val="num" w:pos="6684"/>
        </w:tabs>
        <w:ind w:left="6684" w:hanging="360"/>
      </w:pPr>
      <w:rPr>
        <w:rFonts w:ascii="Wingdings" w:hAnsi="Wingdings" w:cs="Wingdings" w:hint="default"/>
      </w:rPr>
    </w:lvl>
  </w:abstractNum>
  <w:abstractNum w:abstractNumId="22">
    <w:nsid w:val="64542ABE"/>
    <w:multiLevelType w:val="hybridMultilevel"/>
    <w:tmpl w:val="2E502D68"/>
    <w:lvl w:ilvl="0" w:tplc="F84E7CB4">
      <w:start w:val="1"/>
      <w:numFmt w:val="bullet"/>
      <w:lvlText w:val=""/>
      <w:lvlJc w:val="left"/>
      <w:pPr>
        <w:tabs>
          <w:tab w:val="num" w:pos="1637"/>
        </w:tabs>
        <w:ind w:left="1637" w:hanging="360"/>
      </w:pPr>
      <w:rPr>
        <w:rFonts w:ascii="Symbol" w:hAnsi="Symbol" w:cs="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start w:val="1"/>
      <w:numFmt w:val="bullet"/>
      <w:lvlText w:val=""/>
      <w:lvlJc w:val="left"/>
      <w:pPr>
        <w:tabs>
          <w:tab w:val="num" w:pos="3077"/>
        </w:tabs>
        <w:ind w:left="3077" w:hanging="360"/>
      </w:pPr>
      <w:rPr>
        <w:rFonts w:ascii="Wingdings" w:hAnsi="Wingdings" w:cs="Wingdings" w:hint="default"/>
      </w:rPr>
    </w:lvl>
    <w:lvl w:ilvl="3" w:tplc="3252DCB4">
      <w:start w:val="1"/>
      <w:numFmt w:val="bullet"/>
      <w:lvlText w:val=""/>
      <w:lvlJc w:val="left"/>
      <w:pPr>
        <w:tabs>
          <w:tab w:val="num" w:pos="3797"/>
        </w:tabs>
        <w:ind w:left="3797" w:hanging="360"/>
      </w:pPr>
      <w:rPr>
        <w:rFonts w:ascii="Symbol" w:hAnsi="Symbol" w:cs="Symbol" w:hint="default"/>
      </w:rPr>
    </w:lvl>
    <w:lvl w:ilvl="4" w:tplc="6F34A8D8">
      <w:start w:val="1"/>
      <w:numFmt w:val="bullet"/>
      <w:lvlText w:val="o"/>
      <w:lvlJc w:val="left"/>
      <w:pPr>
        <w:tabs>
          <w:tab w:val="num" w:pos="4517"/>
        </w:tabs>
        <w:ind w:left="4517" w:hanging="360"/>
      </w:pPr>
      <w:rPr>
        <w:rFonts w:ascii="Courier New" w:hAnsi="Courier New" w:cs="Courier New" w:hint="default"/>
      </w:rPr>
    </w:lvl>
    <w:lvl w:ilvl="5" w:tplc="12A6E718">
      <w:start w:val="1"/>
      <w:numFmt w:val="bullet"/>
      <w:lvlText w:val=""/>
      <w:lvlJc w:val="left"/>
      <w:pPr>
        <w:tabs>
          <w:tab w:val="num" w:pos="5237"/>
        </w:tabs>
        <w:ind w:left="5237" w:hanging="360"/>
      </w:pPr>
      <w:rPr>
        <w:rFonts w:ascii="Wingdings" w:hAnsi="Wingdings" w:cs="Wingdings" w:hint="default"/>
      </w:rPr>
    </w:lvl>
    <w:lvl w:ilvl="6" w:tplc="030A128E">
      <w:start w:val="1"/>
      <w:numFmt w:val="bullet"/>
      <w:lvlText w:val=""/>
      <w:lvlJc w:val="left"/>
      <w:pPr>
        <w:tabs>
          <w:tab w:val="num" w:pos="5957"/>
        </w:tabs>
        <w:ind w:left="5957" w:hanging="360"/>
      </w:pPr>
      <w:rPr>
        <w:rFonts w:ascii="Symbol" w:hAnsi="Symbol" w:cs="Symbol" w:hint="default"/>
      </w:rPr>
    </w:lvl>
    <w:lvl w:ilvl="7" w:tplc="258A6632">
      <w:start w:val="1"/>
      <w:numFmt w:val="bullet"/>
      <w:lvlText w:val="o"/>
      <w:lvlJc w:val="left"/>
      <w:pPr>
        <w:tabs>
          <w:tab w:val="num" w:pos="6677"/>
        </w:tabs>
        <w:ind w:left="6677" w:hanging="360"/>
      </w:pPr>
      <w:rPr>
        <w:rFonts w:ascii="Courier New" w:hAnsi="Courier New" w:cs="Courier New" w:hint="default"/>
      </w:rPr>
    </w:lvl>
    <w:lvl w:ilvl="8" w:tplc="2B9A1C70">
      <w:start w:val="1"/>
      <w:numFmt w:val="bullet"/>
      <w:lvlText w:val=""/>
      <w:lvlJc w:val="left"/>
      <w:pPr>
        <w:tabs>
          <w:tab w:val="num" w:pos="7397"/>
        </w:tabs>
        <w:ind w:left="7397" w:hanging="360"/>
      </w:pPr>
      <w:rPr>
        <w:rFonts w:ascii="Wingdings" w:hAnsi="Wingdings" w:cs="Wingdings" w:hint="default"/>
      </w:rPr>
    </w:lvl>
  </w:abstractNum>
  <w:abstractNum w:abstractNumId="23">
    <w:nsid w:val="69CB526A"/>
    <w:multiLevelType w:val="hybridMultilevel"/>
    <w:tmpl w:val="CC8499EE"/>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6"/>
  </w:num>
  <w:num w:numId="12">
    <w:abstractNumId w:val="11"/>
  </w:num>
  <w:num w:numId="13">
    <w:abstractNumId w:val="7"/>
  </w:num>
  <w:num w:numId="14">
    <w:abstractNumId w:val="21"/>
  </w:num>
  <w:num w:numId="15">
    <w:abstractNumId w:val="19"/>
  </w:num>
  <w:num w:numId="16">
    <w:abstractNumId w:val="22"/>
  </w:num>
  <w:num w:numId="17">
    <w:abstractNumId w:val="17"/>
  </w:num>
  <w:num w:numId="18">
    <w:abstractNumId w:val="3"/>
  </w:num>
  <w:num w:numId="19">
    <w:abstractNumId w:val="12"/>
  </w:num>
  <w:num w:numId="20">
    <w:abstractNumId w:val="6"/>
  </w:num>
  <w:num w:numId="21">
    <w:abstractNumId w:val="2"/>
  </w:num>
  <w:num w:numId="22">
    <w:abstractNumId w:val="15"/>
  </w:num>
  <w:num w:numId="23">
    <w:abstractNumId w:val="8"/>
  </w:num>
  <w:num w:numId="24">
    <w:abstractNumId w:val="14"/>
  </w:num>
  <w:num w:numId="25">
    <w:abstractNumId w:val="4"/>
  </w:num>
  <w:num w:numId="26">
    <w:abstractNumId w:val="20"/>
  </w:num>
  <w:num w:numId="27">
    <w:abstractNumId w:val="9"/>
  </w:num>
  <w:num w:numId="28">
    <w:abstractNumId w:val="23"/>
  </w:num>
  <w:num w:numId="29">
    <w:abstractNumId w:val="13"/>
  </w:num>
  <w:num w:numId="30">
    <w:abstractNumId w:val="1"/>
  </w:num>
  <w:num w:numId="31">
    <w:abstractNumId w:val="18"/>
  </w:num>
  <w:num w:numId="32">
    <w:abstractNumId w:val="5"/>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267D"/>
    <w:rsid w:val="00006A46"/>
    <w:rsid w:val="0000786A"/>
    <w:rsid w:val="00011871"/>
    <w:rsid w:val="00012C3A"/>
    <w:rsid w:val="0002079C"/>
    <w:rsid w:val="000267AD"/>
    <w:rsid w:val="00035BEF"/>
    <w:rsid w:val="00037104"/>
    <w:rsid w:val="000376BB"/>
    <w:rsid w:val="00040A53"/>
    <w:rsid w:val="0004614E"/>
    <w:rsid w:val="00052853"/>
    <w:rsid w:val="00054727"/>
    <w:rsid w:val="00054FA8"/>
    <w:rsid w:val="000564A5"/>
    <w:rsid w:val="000568BF"/>
    <w:rsid w:val="00060AEA"/>
    <w:rsid w:val="00077F0C"/>
    <w:rsid w:val="00080769"/>
    <w:rsid w:val="00084965"/>
    <w:rsid w:val="0008511E"/>
    <w:rsid w:val="00087B12"/>
    <w:rsid w:val="00090B0D"/>
    <w:rsid w:val="00097A4E"/>
    <w:rsid w:val="000A03A4"/>
    <w:rsid w:val="000A17CF"/>
    <w:rsid w:val="000A1905"/>
    <w:rsid w:val="000A218F"/>
    <w:rsid w:val="000A36D7"/>
    <w:rsid w:val="000B03BD"/>
    <w:rsid w:val="000B35E5"/>
    <w:rsid w:val="000C05BE"/>
    <w:rsid w:val="000C1EB0"/>
    <w:rsid w:val="000C292F"/>
    <w:rsid w:val="000C570C"/>
    <w:rsid w:val="000C6C21"/>
    <w:rsid w:val="000D0B10"/>
    <w:rsid w:val="000D45E5"/>
    <w:rsid w:val="000E1DD2"/>
    <w:rsid w:val="000E4A43"/>
    <w:rsid w:val="000E51C7"/>
    <w:rsid w:val="000F0E73"/>
    <w:rsid w:val="000F1C1A"/>
    <w:rsid w:val="00100203"/>
    <w:rsid w:val="001007CD"/>
    <w:rsid w:val="00101AF6"/>
    <w:rsid w:val="00102AFA"/>
    <w:rsid w:val="00102F47"/>
    <w:rsid w:val="001046F4"/>
    <w:rsid w:val="0010615F"/>
    <w:rsid w:val="001063D0"/>
    <w:rsid w:val="00106BC4"/>
    <w:rsid w:val="001179C0"/>
    <w:rsid w:val="0012223F"/>
    <w:rsid w:val="00123D5E"/>
    <w:rsid w:val="00124467"/>
    <w:rsid w:val="001244DF"/>
    <w:rsid w:val="001316A1"/>
    <w:rsid w:val="0013230F"/>
    <w:rsid w:val="0014339B"/>
    <w:rsid w:val="001451C7"/>
    <w:rsid w:val="0015371B"/>
    <w:rsid w:val="001555B4"/>
    <w:rsid w:val="00155BA0"/>
    <w:rsid w:val="001610D0"/>
    <w:rsid w:val="001655D8"/>
    <w:rsid w:val="00172A90"/>
    <w:rsid w:val="00173BF9"/>
    <w:rsid w:val="00174F29"/>
    <w:rsid w:val="0017621F"/>
    <w:rsid w:val="00176539"/>
    <w:rsid w:val="00177E5D"/>
    <w:rsid w:val="00182763"/>
    <w:rsid w:val="00182C62"/>
    <w:rsid w:val="00184F11"/>
    <w:rsid w:val="001866BA"/>
    <w:rsid w:val="001875AB"/>
    <w:rsid w:val="00196D8C"/>
    <w:rsid w:val="001A4626"/>
    <w:rsid w:val="001A6D1E"/>
    <w:rsid w:val="001A71A9"/>
    <w:rsid w:val="001A71E5"/>
    <w:rsid w:val="001B5B76"/>
    <w:rsid w:val="001C1364"/>
    <w:rsid w:val="001C5776"/>
    <w:rsid w:val="001C74F9"/>
    <w:rsid w:val="001C77FE"/>
    <w:rsid w:val="001D1A25"/>
    <w:rsid w:val="001D7C4F"/>
    <w:rsid w:val="001E4463"/>
    <w:rsid w:val="001E47CE"/>
    <w:rsid w:val="001E5BCD"/>
    <w:rsid w:val="001F1F52"/>
    <w:rsid w:val="001F5087"/>
    <w:rsid w:val="002019A6"/>
    <w:rsid w:val="00203533"/>
    <w:rsid w:val="00210D0C"/>
    <w:rsid w:val="00211048"/>
    <w:rsid w:val="0021392C"/>
    <w:rsid w:val="00213A1F"/>
    <w:rsid w:val="0021620D"/>
    <w:rsid w:val="00216CA3"/>
    <w:rsid w:val="002232C3"/>
    <w:rsid w:val="002316E6"/>
    <w:rsid w:val="00231A35"/>
    <w:rsid w:val="002355E9"/>
    <w:rsid w:val="00235808"/>
    <w:rsid w:val="0023774E"/>
    <w:rsid w:val="00243E50"/>
    <w:rsid w:val="00247ADA"/>
    <w:rsid w:val="00247F47"/>
    <w:rsid w:val="002566AD"/>
    <w:rsid w:val="00260DEE"/>
    <w:rsid w:val="00262FEC"/>
    <w:rsid w:val="002654A2"/>
    <w:rsid w:val="00280409"/>
    <w:rsid w:val="00290594"/>
    <w:rsid w:val="00291C82"/>
    <w:rsid w:val="00293D58"/>
    <w:rsid w:val="00295615"/>
    <w:rsid w:val="002A037D"/>
    <w:rsid w:val="002A09C5"/>
    <w:rsid w:val="002A1B85"/>
    <w:rsid w:val="002A3760"/>
    <w:rsid w:val="002B06F6"/>
    <w:rsid w:val="002B4D3E"/>
    <w:rsid w:val="002B5B34"/>
    <w:rsid w:val="002B6409"/>
    <w:rsid w:val="002B6BE7"/>
    <w:rsid w:val="002C4EED"/>
    <w:rsid w:val="002C56A6"/>
    <w:rsid w:val="002C6EA5"/>
    <w:rsid w:val="002E743C"/>
    <w:rsid w:val="002E7A9F"/>
    <w:rsid w:val="00301D81"/>
    <w:rsid w:val="003073B5"/>
    <w:rsid w:val="0031732B"/>
    <w:rsid w:val="00322095"/>
    <w:rsid w:val="00323E34"/>
    <w:rsid w:val="0033006D"/>
    <w:rsid w:val="00332A1C"/>
    <w:rsid w:val="00332AD1"/>
    <w:rsid w:val="00333685"/>
    <w:rsid w:val="00334B0F"/>
    <w:rsid w:val="00335C02"/>
    <w:rsid w:val="0034100E"/>
    <w:rsid w:val="0034660F"/>
    <w:rsid w:val="00351516"/>
    <w:rsid w:val="00356E1F"/>
    <w:rsid w:val="003606C6"/>
    <w:rsid w:val="003628FA"/>
    <w:rsid w:val="00376AB8"/>
    <w:rsid w:val="00381620"/>
    <w:rsid w:val="00390CC2"/>
    <w:rsid w:val="00395922"/>
    <w:rsid w:val="00395CC2"/>
    <w:rsid w:val="00397D60"/>
    <w:rsid w:val="003A0C82"/>
    <w:rsid w:val="003A1255"/>
    <w:rsid w:val="003A4954"/>
    <w:rsid w:val="003A49C6"/>
    <w:rsid w:val="003A5A19"/>
    <w:rsid w:val="003B0269"/>
    <w:rsid w:val="003B1AF4"/>
    <w:rsid w:val="003B2EA0"/>
    <w:rsid w:val="003B3396"/>
    <w:rsid w:val="003B52EF"/>
    <w:rsid w:val="003C2E4E"/>
    <w:rsid w:val="003C3065"/>
    <w:rsid w:val="003C60BD"/>
    <w:rsid w:val="003C64C7"/>
    <w:rsid w:val="003C7EB4"/>
    <w:rsid w:val="003D068E"/>
    <w:rsid w:val="003D40A0"/>
    <w:rsid w:val="003E098F"/>
    <w:rsid w:val="003E47F7"/>
    <w:rsid w:val="003E4CE4"/>
    <w:rsid w:val="003F33A7"/>
    <w:rsid w:val="003F65E3"/>
    <w:rsid w:val="004030FC"/>
    <w:rsid w:val="00404D08"/>
    <w:rsid w:val="00411257"/>
    <w:rsid w:val="0041139F"/>
    <w:rsid w:val="004138B4"/>
    <w:rsid w:val="0041733C"/>
    <w:rsid w:val="004176BF"/>
    <w:rsid w:val="00417B1B"/>
    <w:rsid w:val="004211CD"/>
    <w:rsid w:val="00422FBE"/>
    <w:rsid w:val="00423513"/>
    <w:rsid w:val="00423A1B"/>
    <w:rsid w:val="004247F7"/>
    <w:rsid w:val="00425CBF"/>
    <w:rsid w:val="004264D3"/>
    <w:rsid w:val="00430026"/>
    <w:rsid w:val="00431337"/>
    <w:rsid w:val="00431571"/>
    <w:rsid w:val="0043535C"/>
    <w:rsid w:val="004436DB"/>
    <w:rsid w:val="00445A10"/>
    <w:rsid w:val="00450553"/>
    <w:rsid w:val="004517E4"/>
    <w:rsid w:val="004607C2"/>
    <w:rsid w:val="00461D59"/>
    <w:rsid w:val="0046257E"/>
    <w:rsid w:val="004628C7"/>
    <w:rsid w:val="004628D5"/>
    <w:rsid w:val="00465382"/>
    <w:rsid w:val="00484FCD"/>
    <w:rsid w:val="00487120"/>
    <w:rsid w:val="00495509"/>
    <w:rsid w:val="00495D4F"/>
    <w:rsid w:val="004A0C28"/>
    <w:rsid w:val="004A2824"/>
    <w:rsid w:val="004A3E0B"/>
    <w:rsid w:val="004A5315"/>
    <w:rsid w:val="004A5379"/>
    <w:rsid w:val="004B13BE"/>
    <w:rsid w:val="004C1FE7"/>
    <w:rsid w:val="004D3DF8"/>
    <w:rsid w:val="004D430B"/>
    <w:rsid w:val="004D5835"/>
    <w:rsid w:val="004D6BA9"/>
    <w:rsid w:val="004E02DE"/>
    <w:rsid w:val="004E55EB"/>
    <w:rsid w:val="004E6D88"/>
    <w:rsid w:val="004F1E12"/>
    <w:rsid w:val="004F4C5B"/>
    <w:rsid w:val="00500AD2"/>
    <w:rsid w:val="00501707"/>
    <w:rsid w:val="00502A1A"/>
    <w:rsid w:val="00503CA1"/>
    <w:rsid w:val="00506B23"/>
    <w:rsid w:val="00510BA1"/>
    <w:rsid w:val="00513CB2"/>
    <w:rsid w:val="005148DA"/>
    <w:rsid w:val="00517CE2"/>
    <w:rsid w:val="00517D2D"/>
    <w:rsid w:val="00520047"/>
    <w:rsid w:val="00521B4B"/>
    <w:rsid w:val="00523669"/>
    <w:rsid w:val="00523C6F"/>
    <w:rsid w:val="00524CB6"/>
    <w:rsid w:val="00527C81"/>
    <w:rsid w:val="005301DB"/>
    <w:rsid w:val="005301DC"/>
    <w:rsid w:val="005449DD"/>
    <w:rsid w:val="005457A7"/>
    <w:rsid w:val="00546BDB"/>
    <w:rsid w:val="00546D71"/>
    <w:rsid w:val="0055089F"/>
    <w:rsid w:val="005518AD"/>
    <w:rsid w:val="00551E54"/>
    <w:rsid w:val="005545FB"/>
    <w:rsid w:val="005607C0"/>
    <w:rsid w:val="00562764"/>
    <w:rsid w:val="0056484A"/>
    <w:rsid w:val="00570043"/>
    <w:rsid w:val="005717D0"/>
    <w:rsid w:val="00577223"/>
    <w:rsid w:val="005818AB"/>
    <w:rsid w:val="0058246F"/>
    <w:rsid w:val="005840A9"/>
    <w:rsid w:val="005906FB"/>
    <w:rsid w:val="00590BE6"/>
    <w:rsid w:val="0059199F"/>
    <w:rsid w:val="0059673E"/>
    <w:rsid w:val="00596E7B"/>
    <w:rsid w:val="005A11A7"/>
    <w:rsid w:val="005A1937"/>
    <w:rsid w:val="005A453F"/>
    <w:rsid w:val="005C358B"/>
    <w:rsid w:val="005C3AF3"/>
    <w:rsid w:val="005C3B1E"/>
    <w:rsid w:val="005C3D64"/>
    <w:rsid w:val="005C50EE"/>
    <w:rsid w:val="005D6C4F"/>
    <w:rsid w:val="005E6B01"/>
    <w:rsid w:val="005F5F67"/>
    <w:rsid w:val="00603867"/>
    <w:rsid w:val="00603B9F"/>
    <w:rsid w:val="00611589"/>
    <w:rsid w:val="00615561"/>
    <w:rsid w:val="00616803"/>
    <w:rsid w:val="0062027F"/>
    <w:rsid w:val="006205CC"/>
    <w:rsid w:val="00623045"/>
    <w:rsid w:val="0062652A"/>
    <w:rsid w:val="00626A8E"/>
    <w:rsid w:val="00630FE0"/>
    <w:rsid w:val="00632BAE"/>
    <w:rsid w:val="00641A4C"/>
    <w:rsid w:val="00642786"/>
    <w:rsid w:val="0064496A"/>
    <w:rsid w:val="00653031"/>
    <w:rsid w:val="00653A8F"/>
    <w:rsid w:val="006553AB"/>
    <w:rsid w:val="006608A9"/>
    <w:rsid w:val="006608CB"/>
    <w:rsid w:val="006657B2"/>
    <w:rsid w:val="006660B2"/>
    <w:rsid w:val="00670F3E"/>
    <w:rsid w:val="006711FD"/>
    <w:rsid w:val="0067132A"/>
    <w:rsid w:val="00675D5C"/>
    <w:rsid w:val="00681260"/>
    <w:rsid w:val="00682C9C"/>
    <w:rsid w:val="00683C91"/>
    <w:rsid w:val="0068433E"/>
    <w:rsid w:val="0068681B"/>
    <w:rsid w:val="00687139"/>
    <w:rsid w:val="00696C6B"/>
    <w:rsid w:val="006A0D13"/>
    <w:rsid w:val="006A2F2A"/>
    <w:rsid w:val="006A3E07"/>
    <w:rsid w:val="006B0DCF"/>
    <w:rsid w:val="006B0FFE"/>
    <w:rsid w:val="006B2FFA"/>
    <w:rsid w:val="006B4AF8"/>
    <w:rsid w:val="006B77A6"/>
    <w:rsid w:val="006C022D"/>
    <w:rsid w:val="006C601A"/>
    <w:rsid w:val="006D332E"/>
    <w:rsid w:val="006D393E"/>
    <w:rsid w:val="006D5911"/>
    <w:rsid w:val="006E031F"/>
    <w:rsid w:val="006E7195"/>
    <w:rsid w:val="006F0490"/>
    <w:rsid w:val="006F0D0A"/>
    <w:rsid w:val="006F5EC4"/>
    <w:rsid w:val="006F6072"/>
    <w:rsid w:val="006F7CDE"/>
    <w:rsid w:val="00700088"/>
    <w:rsid w:val="0070303E"/>
    <w:rsid w:val="00710AEF"/>
    <w:rsid w:val="007127E8"/>
    <w:rsid w:val="0071479E"/>
    <w:rsid w:val="0071795A"/>
    <w:rsid w:val="007271C0"/>
    <w:rsid w:val="0073012A"/>
    <w:rsid w:val="007311DF"/>
    <w:rsid w:val="00731BE6"/>
    <w:rsid w:val="00741037"/>
    <w:rsid w:val="00741528"/>
    <w:rsid w:val="0074610E"/>
    <w:rsid w:val="007476A0"/>
    <w:rsid w:val="00747813"/>
    <w:rsid w:val="007507A9"/>
    <w:rsid w:val="00755B18"/>
    <w:rsid w:val="0076309D"/>
    <w:rsid w:val="00763ACA"/>
    <w:rsid w:val="00764471"/>
    <w:rsid w:val="0076637C"/>
    <w:rsid w:val="007740E1"/>
    <w:rsid w:val="007777B8"/>
    <w:rsid w:val="00780C87"/>
    <w:rsid w:val="00781269"/>
    <w:rsid w:val="00783638"/>
    <w:rsid w:val="00783CBE"/>
    <w:rsid w:val="00791331"/>
    <w:rsid w:val="007932D3"/>
    <w:rsid w:val="00794836"/>
    <w:rsid w:val="00797D23"/>
    <w:rsid w:val="007A127F"/>
    <w:rsid w:val="007A3ECE"/>
    <w:rsid w:val="007A4FE6"/>
    <w:rsid w:val="007A671F"/>
    <w:rsid w:val="007B2523"/>
    <w:rsid w:val="007B4957"/>
    <w:rsid w:val="007C0E18"/>
    <w:rsid w:val="007C3FA9"/>
    <w:rsid w:val="007C42C0"/>
    <w:rsid w:val="007D23DA"/>
    <w:rsid w:val="007D4273"/>
    <w:rsid w:val="007D44D3"/>
    <w:rsid w:val="007D53AE"/>
    <w:rsid w:val="007D560D"/>
    <w:rsid w:val="007D619B"/>
    <w:rsid w:val="007D7BBA"/>
    <w:rsid w:val="007E27A7"/>
    <w:rsid w:val="007E40C9"/>
    <w:rsid w:val="007E4261"/>
    <w:rsid w:val="007E705C"/>
    <w:rsid w:val="007E7BF3"/>
    <w:rsid w:val="007F0B8B"/>
    <w:rsid w:val="007F4E5E"/>
    <w:rsid w:val="007F5045"/>
    <w:rsid w:val="008028BD"/>
    <w:rsid w:val="00803F44"/>
    <w:rsid w:val="008056B9"/>
    <w:rsid w:val="00805755"/>
    <w:rsid w:val="00812AF1"/>
    <w:rsid w:val="00815AEC"/>
    <w:rsid w:val="0081624A"/>
    <w:rsid w:val="008200AA"/>
    <w:rsid w:val="00824369"/>
    <w:rsid w:val="00824E3D"/>
    <w:rsid w:val="00825594"/>
    <w:rsid w:val="00825D1D"/>
    <w:rsid w:val="00830A55"/>
    <w:rsid w:val="008316F6"/>
    <w:rsid w:val="0083170B"/>
    <w:rsid w:val="0083206B"/>
    <w:rsid w:val="0083583D"/>
    <w:rsid w:val="0084435D"/>
    <w:rsid w:val="00845210"/>
    <w:rsid w:val="00851EA0"/>
    <w:rsid w:val="00852B67"/>
    <w:rsid w:val="00855506"/>
    <w:rsid w:val="00856068"/>
    <w:rsid w:val="00857BC3"/>
    <w:rsid w:val="00860206"/>
    <w:rsid w:val="008624A2"/>
    <w:rsid w:val="00865127"/>
    <w:rsid w:val="008661B6"/>
    <w:rsid w:val="0086624B"/>
    <w:rsid w:val="00866CA1"/>
    <w:rsid w:val="00867F7E"/>
    <w:rsid w:val="00871448"/>
    <w:rsid w:val="00874D02"/>
    <w:rsid w:val="00880685"/>
    <w:rsid w:val="00881F77"/>
    <w:rsid w:val="00887421"/>
    <w:rsid w:val="00897F4A"/>
    <w:rsid w:val="008A684B"/>
    <w:rsid w:val="008B0B25"/>
    <w:rsid w:val="008B4EC6"/>
    <w:rsid w:val="008B5418"/>
    <w:rsid w:val="008C1723"/>
    <w:rsid w:val="008C1891"/>
    <w:rsid w:val="008C34D8"/>
    <w:rsid w:val="008C4891"/>
    <w:rsid w:val="008C7181"/>
    <w:rsid w:val="008D01FE"/>
    <w:rsid w:val="008D5244"/>
    <w:rsid w:val="008D584F"/>
    <w:rsid w:val="008D7648"/>
    <w:rsid w:val="008E24C3"/>
    <w:rsid w:val="008E689F"/>
    <w:rsid w:val="008F05F6"/>
    <w:rsid w:val="008F2D87"/>
    <w:rsid w:val="008F5DF1"/>
    <w:rsid w:val="008F6CFF"/>
    <w:rsid w:val="00903A13"/>
    <w:rsid w:val="00904A7D"/>
    <w:rsid w:val="009062AF"/>
    <w:rsid w:val="0090637B"/>
    <w:rsid w:val="00910F0A"/>
    <w:rsid w:val="00911E11"/>
    <w:rsid w:val="00915366"/>
    <w:rsid w:val="00915709"/>
    <w:rsid w:val="009203F2"/>
    <w:rsid w:val="00920DAC"/>
    <w:rsid w:val="00921F86"/>
    <w:rsid w:val="00922CBA"/>
    <w:rsid w:val="0092572E"/>
    <w:rsid w:val="009313BB"/>
    <w:rsid w:val="00934700"/>
    <w:rsid w:val="009353BE"/>
    <w:rsid w:val="009408D8"/>
    <w:rsid w:val="009411E5"/>
    <w:rsid w:val="009415F4"/>
    <w:rsid w:val="00947868"/>
    <w:rsid w:val="00954020"/>
    <w:rsid w:val="0096262D"/>
    <w:rsid w:val="009627F5"/>
    <w:rsid w:val="009646CA"/>
    <w:rsid w:val="00964C6F"/>
    <w:rsid w:val="00966D2D"/>
    <w:rsid w:val="00971698"/>
    <w:rsid w:val="00972401"/>
    <w:rsid w:val="00973588"/>
    <w:rsid w:val="00974C5E"/>
    <w:rsid w:val="009801E7"/>
    <w:rsid w:val="00994564"/>
    <w:rsid w:val="00995C93"/>
    <w:rsid w:val="009962E7"/>
    <w:rsid w:val="00996F50"/>
    <w:rsid w:val="009A1225"/>
    <w:rsid w:val="009A7620"/>
    <w:rsid w:val="009B057A"/>
    <w:rsid w:val="009B2A63"/>
    <w:rsid w:val="009B325F"/>
    <w:rsid w:val="009B39F9"/>
    <w:rsid w:val="009B6108"/>
    <w:rsid w:val="009B6461"/>
    <w:rsid w:val="009C0503"/>
    <w:rsid w:val="009C09DF"/>
    <w:rsid w:val="009C1D9A"/>
    <w:rsid w:val="009C70CF"/>
    <w:rsid w:val="009D096A"/>
    <w:rsid w:val="009D39F4"/>
    <w:rsid w:val="009D660E"/>
    <w:rsid w:val="009D663D"/>
    <w:rsid w:val="009D75F0"/>
    <w:rsid w:val="009E174D"/>
    <w:rsid w:val="009E3DFE"/>
    <w:rsid w:val="009F1846"/>
    <w:rsid w:val="009F775C"/>
    <w:rsid w:val="00A0044A"/>
    <w:rsid w:val="00A018D0"/>
    <w:rsid w:val="00A111E6"/>
    <w:rsid w:val="00A15CE7"/>
    <w:rsid w:val="00A1655E"/>
    <w:rsid w:val="00A20128"/>
    <w:rsid w:val="00A2200F"/>
    <w:rsid w:val="00A254C1"/>
    <w:rsid w:val="00A25544"/>
    <w:rsid w:val="00A31F9B"/>
    <w:rsid w:val="00A37543"/>
    <w:rsid w:val="00A401CB"/>
    <w:rsid w:val="00A416E1"/>
    <w:rsid w:val="00A41880"/>
    <w:rsid w:val="00A45E7A"/>
    <w:rsid w:val="00A46CA8"/>
    <w:rsid w:val="00A51C5B"/>
    <w:rsid w:val="00A53D17"/>
    <w:rsid w:val="00A54E27"/>
    <w:rsid w:val="00A54F27"/>
    <w:rsid w:val="00A57DB9"/>
    <w:rsid w:val="00A64DCE"/>
    <w:rsid w:val="00A66495"/>
    <w:rsid w:val="00A676E4"/>
    <w:rsid w:val="00A70C8D"/>
    <w:rsid w:val="00A734DB"/>
    <w:rsid w:val="00A7737B"/>
    <w:rsid w:val="00A775F0"/>
    <w:rsid w:val="00A8046C"/>
    <w:rsid w:val="00A8502F"/>
    <w:rsid w:val="00A86173"/>
    <w:rsid w:val="00A87712"/>
    <w:rsid w:val="00A9075B"/>
    <w:rsid w:val="00A944B3"/>
    <w:rsid w:val="00AA0405"/>
    <w:rsid w:val="00AA1742"/>
    <w:rsid w:val="00AA60AB"/>
    <w:rsid w:val="00AB2586"/>
    <w:rsid w:val="00AB2599"/>
    <w:rsid w:val="00AC0DC5"/>
    <w:rsid w:val="00AC1515"/>
    <w:rsid w:val="00AC23A3"/>
    <w:rsid w:val="00AC33DA"/>
    <w:rsid w:val="00AC3D92"/>
    <w:rsid w:val="00AC4DF2"/>
    <w:rsid w:val="00AD1532"/>
    <w:rsid w:val="00AD2F48"/>
    <w:rsid w:val="00AD5077"/>
    <w:rsid w:val="00AF4925"/>
    <w:rsid w:val="00AF549D"/>
    <w:rsid w:val="00B0111B"/>
    <w:rsid w:val="00B029F4"/>
    <w:rsid w:val="00B110D7"/>
    <w:rsid w:val="00B11DFE"/>
    <w:rsid w:val="00B12268"/>
    <w:rsid w:val="00B15377"/>
    <w:rsid w:val="00B158D1"/>
    <w:rsid w:val="00B234DF"/>
    <w:rsid w:val="00B26C47"/>
    <w:rsid w:val="00B3376E"/>
    <w:rsid w:val="00B44C12"/>
    <w:rsid w:val="00B505C3"/>
    <w:rsid w:val="00B51D7D"/>
    <w:rsid w:val="00B5250F"/>
    <w:rsid w:val="00B56BFA"/>
    <w:rsid w:val="00B63F21"/>
    <w:rsid w:val="00B67011"/>
    <w:rsid w:val="00B7051B"/>
    <w:rsid w:val="00B70A1E"/>
    <w:rsid w:val="00B71939"/>
    <w:rsid w:val="00B72056"/>
    <w:rsid w:val="00B72CE8"/>
    <w:rsid w:val="00B76F0E"/>
    <w:rsid w:val="00B83DED"/>
    <w:rsid w:val="00B860FC"/>
    <w:rsid w:val="00B87D00"/>
    <w:rsid w:val="00B91287"/>
    <w:rsid w:val="00B93D1D"/>
    <w:rsid w:val="00B96918"/>
    <w:rsid w:val="00BA466D"/>
    <w:rsid w:val="00BA658E"/>
    <w:rsid w:val="00BB27A1"/>
    <w:rsid w:val="00BB384B"/>
    <w:rsid w:val="00BB54E4"/>
    <w:rsid w:val="00BB6162"/>
    <w:rsid w:val="00BB7FA4"/>
    <w:rsid w:val="00BC6500"/>
    <w:rsid w:val="00BD0E20"/>
    <w:rsid w:val="00BD425C"/>
    <w:rsid w:val="00BD5A87"/>
    <w:rsid w:val="00BE081B"/>
    <w:rsid w:val="00BE25BE"/>
    <w:rsid w:val="00BF3606"/>
    <w:rsid w:val="00BF66F4"/>
    <w:rsid w:val="00BF6DA9"/>
    <w:rsid w:val="00BF717E"/>
    <w:rsid w:val="00BF7BA9"/>
    <w:rsid w:val="00C033C4"/>
    <w:rsid w:val="00C04E08"/>
    <w:rsid w:val="00C110D4"/>
    <w:rsid w:val="00C11815"/>
    <w:rsid w:val="00C124FE"/>
    <w:rsid w:val="00C21451"/>
    <w:rsid w:val="00C21AC3"/>
    <w:rsid w:val="00C23633"/>
    <w:rsid w:val="00C24E0F"/>
    <w:rsid w:val="00C2528D"/>
    <w:rsid w:val="00C27D51"/>
    <w:rsid w:val="00C33E54"/>
    <w:rsid w:val="00C40BD7"/>
    <w:rsid w:val="00C44FD3"/>
    <w:rsid w:val="00C455CB"/>
    <w:rsid w:val="00C46CAC"/>
    <w:rsid w:val="00C50C6F"/>
    <w:rsid w:val="00C50EC1"/>
    <w:rsid w:val="00C54589"/>
    <w:rsid w:val="00C6520D"/>
    <w:rsid w:val="00C66674"/>
    <w:rsid w:val="00C7218F"/>
    <w:rsid w:val="00C84C27"/>
    <w:rsid w:val="00C86C3C"/>
    <w:rsid w:val="00C934BE"/>
    <w:rsid w:val="00CA2702"/>
    <w:rsid w:val="00CA4144"/>
    <w:rsid w:val="00CA5BA2"/>
    <w:rsid w:val="00CB0228"/>
    <w:rsid w:val="00CB1156"/>
    <w:rsid w:val="00CB1331"/>
    <w:rsid w:val="00CB20D4"/>
    <w:rsid w:val="00CC1500"/>
    <w:rsid w:val="00CC3606"/>
    <w:rsid w:val="00CD5461"/>
    <w:rsid w:val="00CE305A"/>
    <w:rsid w:val="00CE7E36"/>
    <w:rsid w:val="00CF578F"/>
    <w:rsid w:val="00D00FB8"/>
    <w:rsid w:val="00D05604"/>
    <w:rsid w:val="00D06902"/>
    <w:rsid w:val="00D07244"/>
    <w:rsid w:val="00D105BC"/>
    <w:rsid w:val="00D11AB8"/>
    <w:rsid w:val="00D11E73"/>
    <w:rsid w:val="00D12575"/>
    <w:rsid w:val="00D12E75"/>
    <w:rsid w:val="00D14ED4"/>
    <w:rsid w:val="00D20C23"/>
    <w:rsid w:val="00D212A8"/>
    <w:rsid w:val="00D315CB"/>
    <w:rsid w:val="00D334C4"/>
    <w:rsid w:val="00D3670F"/>
    <w:rsid w:val="00D369CD"/>
    <w:rsid w:val="00D37B02"/>
    <w:rsid w:val="00D37F5E"/>
    <w:rsid w:val="00D42987"/>
    <w:rsid w:val="00D43194"/>
    <w:rsid w:val="00D464D8"/>
    <w:rsid w:val="00D50CA3"/>
    <w:rsid w:val="00D54A2D"/>
    <w:rsid w:val="00D6058E"/>
    <w:rsid w:val="00D615F3"/>
    <w:rsid w:val="00D67BE9"/>
    <w:rsid w:val="00D75071"/>
    <w:rsid w:val="00D84722"/>
    <w:rsid w:val="00D849A1"/>
    <w:rsid w:val="00D86E64"/>
    <w:rsid w:val="00D87FC1"/>
    <w:rsid w:val="00DA561D"/>
    <w:rsid w:val="00DB1675"/>
    <w:rsid w:val="00DB3428"/>
    <w:rsid w:val="00DB503D"/>
    <w:rsid w:val="00DB5F8A"/>
    <w:rsid w:val="00DB641D"/>
    <w:rsid w:val="00DD22DF"/>
    <w:rsid w:val="00DD46D4"/>
    <w:rsid w:val="00DD5C0B"/>
    <w:rsid w:val="00DD66D6"/>
    <w:rsid w:val="00DE2E56"/>
    <w:rsid w:val="00DE35E3"/>
    <w:rsid w:val="00DE486D"/>
    <w:rsid w:val="00DE4DB5"/>
    <w:rsid w:val="00DE5CDE"/>
    <w:rsid w:val="00DF0ADF"/>
    <w:rsid w:val="00E00766"/>
    <w:rsid w:val="00E00CCB"/>
    <w:rsid w:val="00E07B80"/>
    <w:rsid w:val="00E10416"/>
    <w:rsid w:val="00E13DFC"/>
    <w:rsid w:val="00E14529"/>
    <w:rsid w:val="00E146B2"/>
    <w:rsid w:val="00E21ECB"/>
    <w:rsid w:val="00E22B4C"/>
    <w:rsid w:val="00E315E8"/>
    <w:rsid w:val="00E3448A"/>
    <w:rsid w:val="00E42A31"/>
    <w:rsid w:val="00E44076"/>
    <w:rsid w:val="00E47017"/>
    <w:rsid w:val="00E50F8F"/>
    <w:rsid w:val="00E54604"/>
    <w:rsid w:val="00E54B17"/>
    <w:rsid w:val="00E56761"/>
    <w:rsid w:val="00E56AF6"/>
    <w:rsid w:val="00E635A3"/>
    <w:rsid w:val="00E63806"/>
    <w:rsid w:val="00E65A3F"/>
    <w:rsid w:val="00E65D49"/>
    <w:rsid w:val="00E67F4C"/>
    <w:rsid w:val="00E709EB"/>
    <w:rsid w:val="00E80630"/>
    <w:rsid w:val="00E81507"/>
    <w:rsid w:val="00E84E02"/>
    <w:rsid w:val="00E86400"/>
    <w:rsid w:val="00E8777E"/>
    <w:rsid w:val="00E878DA"/>
    <w:rsid w:val="00E934D1"/>
    <w:rsid w:val="00E93F74"/>
    <w:rsid w:val="00E97803"/>
    <w:rsid w:val="00EA51E2"/>
    <w:rsid w:val="00EA67AC"/>
    <w:rsid w:val="00EA76D7"/>
    <w:rsid w:val="00EA7B2A"/>
    <w:rsid w:val="00EC0BAC"/>
    <w:rsid w:val="00EC3168"/>
    <w:rsid w:val="00ED050C"/>
    <w:rsid w:val="00ED5636"/>
    <w:rsid w:val="00EE3346"/>
    <w:rsid w:val="00EE5B9C"/>
    <w:rsid w:val="00EF0C04"/>
    <w:rsid w:val="00EF0EE7"/>
    <w:rsid w:val="00EF2769"/>
    <w:rsid w:val="00EF2D01"/>
    <w:rsid w:val="00F00132"/>
    <w:rsid w:val="00F01545"/>
    <w:rsid w:val="00F01C4F"/>
    <w:rsid w:val="00F12E11"/>
    <w:rsid w:val="00F13D0A"/>
    <w:rsid w:val="00F152B5"/>
    <w:rsid w:val="00F17300"/>
    <w:rsid w:val="00F2000B"/>
    <w:rsid w:val="00F20053"/>
    <w:rsid w:val="00F26283"/>
    <w:rsid w:val="00F31477"/>
    <w:rsid w:val="00F32341"/>
    <w:rsid w:val="00F34282"/>
    <w:rsid w:val="00F34D0B"/>
    <w:rsid w:val="00F35DE9"/>
    <w:rsid w:val="00F36B95"/>
    <w:rsid w:val="00F36C2D"/>
    <w:rsid w:val="00F4323B"/>
    <w:rsid w:val="00F44577"/>
    <w:rsid w:val="00F57C8E"/>
    <w:rsid w:val="00F60EC3"/>
    <w:rsid w:val="00F61E74"/>
    <w:rsid w:val="00F6242D"/>
    <w:rsid w:val="00F640E1"/>
    <w:rsid w:val="00F73C6D"/>
    <w:rsid w:val="00F9588C"/>
    <w:rsid w:val="00FB0B78"/>
    <w:rsid w:val="00FB624F"/>
    <w:rsid w:val="00FC45D1"/>
    <w:rsid w:val="00FC5EDD"/>
    <w:rsid w:val="00FD3178"/>
    <w:rsid w:val="00FD4F82"/>
    <w:rsid w:val="00FD5C69"/>
    <w:rsid w:val="00FD609E"/>
    <w:rsid w:val="00FD7BF2"/>
    <w:rsid w:val="00FD7D82"/>
    <w:rsid w:val="00FE2CC0"/>
    <w:rsid w:val="00FE53CE"/>
    <w:rsid w:val="00FF1678"/>
    <w:rsid w:val="00FF1EFF"/>
    <w:rsid w:val="00FF4F2E"/>
    <w:rsid w:val="00FF5C39"/>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ha.europa.eu/candidate-list-tabl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6</Pages>
  <Words>2266</Words>
  <Characters>15642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7</cp:revision>
  <cp:lastPrinted>2017-01-11T07:17:00Z</cp:lastPrinted>
  <dcterms:created xsi:type="dcterms:W3CDTF">2017-03-14T10:26:00Z</dcterms:created>
  <dcterms:modified xsi:type="dcterms:W3CDTF">2017-03-14T10:41:00Z</dcterms:modified>
</cp:coreProperties>
</file>